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5.xml.rels" ContentType="application/vnd.openxmlformats-package.relationships+xml"/>
  <Override PartName="/word/_rels/header1.xml.rels" ContentType="application/vnd.openxmlformats-package.relationships+xml"/>
  <Override PartName="/word/_rels/header6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document.xml" ContentType="application/vnd.openxmlformats-officedocument.wordprocessingml.document.main+xml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7.bin" ContentType="application/vnd.openxmlformats-officedocument.oleObject"/>
  <Override PartName="/word/embeddings/oleObject10.bin" ContentType="application/vnd.openxmlformats-officedocument.oleObject"/>
  <Override PartName="/word/embeddings/oleObject9.bin" ContentType="application/vnd.openxmlformats-officedocument.oleObject"/>
  <Override PartName="/word/embeddings/oleObject8.bin" ContentType="application/vnd.openxmlformats-officedocument.oleObject"/>
  <Override PartName="/word/media/image6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1.wmf" ContentType="image/x-wmf"/>
  <Override PartName="/word/media/image2.wmf" ContentType="image/x-wmf"/>
  <Override PartName="/word/media/image11.wmf" ContentType="image/x-wmf"/>
  <Override PartName="/word/media/image9.wmf" ContentType="image/x-wmf"/>
  <Override PartName="/word/media/image12.wmf" ContentType="image/x-wmf"/>
  <Override PartName="/word/media/image10.wmf" ContentType="image/x-wmf"/>
  <Override PartName="/word/media/image8.wmf" ContentType="image/x-wmf"/>
  <Override PartName="/word/media/image7.wmf" ContentType="image/x-w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СОГЛАСОВАНО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Руководитель ГЦИ СИ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ФГУ «Нижегородский ЦСМ»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 И.И.Решетник</w:t>
      </w:r>
    </w:p>
    <w:p>
      <w:pPr>
        <w:pStyle w:val="Normal"/>
        <w:ind w:firstLine="6237"/>
        <w:jc w:val="both"/>
        <w:rPr/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  <w:u w:val="single"/>
          <w:lang w:val="en-US"/>
        </w:rPr>
        <w:t>_</w:t>
      </w:r>
      <w:r>
        <w:rPr>
          <w:rFonts w:cs="Times New Roman" w:ascii="Times New Roman" w:hAnsi="Times New Roman"/>
          <w:b/>
          <w:u w:val="single"/>
        </w:rPr>
        <w:t>21</w:t>
      </w:r>
      <w:r>
        <w:rPr>
          <w:rFonts w:cs="Times New Roman" w:ascii="Times New Roman" w:hAnsi="Times New Roman"/>
          <w:b/>
          <w:u w:val="single"/>
          <w:lang w:val="en-US"/>
        </w:rPr>
        <w:t>_</w:t>
      </w:r>
      <w:r>
        <w:rPr>
          <w:rFonts w:cs="Times New Roman" w:ascii="Times New Roman" w:hAnsi="Times New Roman"/>
          <w:b/>
        </w:rPr>
        <w:t xml:space="preserve">»  </w:t>
      </w:r>
      <w:r>
        <w:rPr>
          <w:rFonts w:cs="Times New Roman" w:ascii="Times New Roman" w:hAnsi="Times New Roman"/>
          <w:b/>
          <w:u w:val="single"/>
          <w:lang w:val="en-US"/>
        </w:rPr>
        <w:t>_</w:t>
      </w:r>
      <w:r>
        <w:rPr>
          <w:rFonts w:cs="Times New Roman" w:ascii="Times New Roman" w:hAnsi="Times New Roman"/>
          <w:b/>
          <w:u w:val="single"/>
        </w:rPr>
        <w:t>февраля</w:t>
      </w:r>
      <w:r>
        <w:rPr>
          <w:rFonts w:cs="Times New Roman" w:ascii="Times New Roman" w:hAnsi="Times New Roman"/>
          <w:b/>
          <w:u w:val="single"/>
          <w:lang w:val="en-US"/>
        </w:rPr>
        <w:t>_</w:t>
      </w:r>
      <w:r>
        <w:rPr>
          <w:rFonts w:cs="Times New Roman" w:ascii="Times New Roman" w:hAnsi="Times New Roman"/>
          <w:b/>
        </w:rPr>
        <w:t xml:space="preserve">  2005 г.</w:t>
        <w:tab/>
        <w:tab/>
      </w:r>
      <w:r>
        <w:rPr>
          <w:rFonts w:cs="Times New Roman" w:ascii="Times New Roman" w:hAnsi="Times New Roman"/>
        </w:rPr>
        <w:tab/>
        <w:tab/>
        <w:tab/>
        <w:tab/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СЧЁТЧИК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ЭЛЕКТРИЧЕСКОЙ  ЭНЕРГИИ   ТРЁХФАЗНЫЙ  СТАТИЧЕСКИЙ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«Меркурий 231АМ-01»</w:t>
      </w:r>
    </w:p>
    <w:p>
      <w:pPr>
        <w:pStyle w:val="Heading8"/>
        <w:rPr>
          <w:rFonts w:ascii="Times New Roman" w:hAnsi="Times New Roman" w:cs="Times New Roman"/>
          <w:b w:val="false"/>
          <w:b w:val="false"/>
          <w:sz w:val="36"/>
        </w:rPr>
      </w:pPr>
      <w:r>
        <w:rPr>
          <w:rFonts w:cs="Times New Roman"/>
          <w:b w:val="false"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Методика 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Heading8"/>
        <w:rPr/>
      </w:pPr>
      <w:r>
        <w:rPr/>
        <w:t>АВЛГ.411152.027 И3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31" w:right="680" w:header="0" w:top="851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2005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СОДЕРЖАНИЕ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512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096"/>
        <w:gridCol w:w="708"/>
      </w:tblGrid>
      <w:tr>
        <w:trPr/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lef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Стр.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Операции  и  средства  поверки 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Требования   безопасности 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Требования к квалификации поверителей ……………….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  поверки ……….…….…………………………...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Подготовка к поверке ……………………………………...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  поверки ……………………………………...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Оформление   результатов   поверки 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</w:tbl>
    <w:p>
      <w:pPr>
        <w:pStyle w:val="Style1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31" w:right="680" w:header="0" w:top="851" w:footer="0" w:bottom="3572" w:gutter="0"/>
          <w:pgNumType w:fmt="decimal"/>
          <w:formProt w:val="false"/>
          <w:textDirection w:val="lrTb"/>
          <w:docGrid w:type="default" w:linePitch="360" w:charSpace="0"/>
        </w:sectPr>
        <w:pStyle w:val="Style13"/>
        <w:ind w:left="1701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9"/>
        <w:ind w:left="0" w:firstLine="709"/>
        <w:jc w:val="both"/>
        <w:rPr/>
      </w:pPr>
      <w:r>
        <w:rPr>
          <w:b w:val="false"/>
          <w:sz w:val="24"/>
        </w:rPr>
        <w:t>Настоящая методика составлена с учётом требований ПР50.2.006-94 и в соответствии  с  требованиями  ГОСТ 30207-94 и  устанавливает методику  первичной,  периодической  и внеочередной поверки счётчика,  а также объём,  условия поверки и подготовку к ней.</w:t>
      </w:r>
    </w:p>
    <w:p>
      <w:pPr>
        <w:pStyle w:val="3"/>
        <w:widowControl/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ind w:firstLine="709"/>
        <w:rPr/>
      </w:pPr>
      <w:r>
        <w:rPr/>
        <w:t>Настоящая методика поверки распространяется на счётчик электрической энергии трёхфазный однотарифный статический «Меркурий 231АМ-01»</w:t>
      </w:r>
    </w:p>
    <w:p>
      <w:pPr>
        <w:pStyle w:val="TextBodyIndent"/>
        <w:spacing w:lineRule="auto" w:line="24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Счётчик подлежит государственному метрологическому контролю и надзору.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При выпуске счётчика из производства и ремонта  проводят первичную поверку.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Первичной  поверке  подлежит каждый экземпляр счётчиков.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Межповерочный интервал - 10 лет.</w:t>
      </w:r>
    </w:p>
    <w:p>
      <w:pPr>
        <w:pStyle w:val="21"/>
        <w:rPr/>
      </w:pPr>
      <w:r>
        <w:rPr/>
        <w:t>Периодической поверке подлежит счётчик,  находящийся в  эксплуатации или на хранении по истечении межповерочного интервала.</w:t>
      </w:r>
    </w:p>
    <w:p>
      <w:pPr>
        <w:pStyle w:val="21"/>
        <w:rPr/>
      </w:pPr>
      <w:r>
        <w:rPr/>
        <w:t>Внеочередную  поверку  проводят в случае: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повреждения  знака  поверительного  клейма  (пломбы) и в случае утраты паспорта;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ввода в эксплуатацию счётчика после длительного хранения  (более половины межповерочного интервала);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проведения повторной юстировки или настройки,  известном или  предполагаемом  ударном  воздействии  на  счётчик  или  неудовлетворительной  его  работе;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продажи (отправки) потребителю счётчика, не реализованного по истечении срока,  равного половине межповерочного интервала.</w:t>
      </w:r>
    </w:p>
    <w:p>
      <w:pPr>
        <w:pStyle w:val="BodyTextIndent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BodyTextIndent2"/>
        <w:rPr/>
      </w:pPr>
      <w:r>
        <w:rPr/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1 Операции  и  средства  поверки</w:t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21"/>
        <w:rPr/>
      </w:pPr>
      <w:r>
        <w:rPr/>
        <w:t>1.1  Выполняемые при поверке операции, а также применяемые при этом средства поверки указаны в таблице 1.</w:t>
      </w:r>
    </w:p>
    <w:p>
      <w:pPr>
        <w:pStyle w:val="21"/>
        <w:rPr/>
      </w:pPr>
      <w:r>
        <w:rPr/>
        <w:t>Последовательность операций проведения поверки  обязательна.</w:t>
      </w:r>
    </w:p>
    <w:p>
      <w:pPr>
        <w:pStyle w:val="21"/>
        <w:rPr/>
      </w:pPr>
      <w:r>
        <w:rPr/>
      </w:r>
    </w:p>
    <w:p>
      <w:pPr>
        <w:pStyle w:val="Heading8"/>
        <w:jc w:val="both"/>
        <w:rPr/>
      </w:pPr>
      <w:r>
        <w:rPr>
          <w:sz w:val="24"/>
        </w:rPr>
        <w:t xml:space="preserve">           </w:t>
      </w:r>
      <w:r>
        <w:rPr>
          <w:sz w:val="24"/>
        </w:rPr>
        <w:t xml:space="preserve">Таблица  1  - </w:t>
      </w:r>
      <w:r>
        <w:rPr>
          <w:b w:val="false"/>
          <w:sz w:val="24"/>
        </w:rPr>
        <w:t>Последовательность операций поверки</w:t>
      </w:r>
      <w:r>
        <w:rPr>
          <w:sz w:val="24"/>
        </w:rPr>
        <w:tab/>
      </w:r>
    </w:p>
    <w:p>
      <w:pPr>
        <w:pStyle w:val="Heading8"/>
        <w:jc w:val="both"/>
        <w:rPr/>
      </w:pPr>
      <w:r>
        <w:rPr/>
        <w:tab/>
      </w:r>
    </w:p>
    <w:tbl>
      <w:tblPr>
        <w:tblW w:w="9796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1276"/>
        <w:gridCol w:w="1559"/>
        <w:gridCol w:w="2992"/>
      </w:tblGrid>
      <w:tr>
        <w:trPr>
          <w:cantSplit w:val="true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Наименование   операции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108" w:righ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Номер пункта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Обязательность проведения поверки</w:t>
            </w: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Наименование средств    поверки,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технические характеристики</w:t>
            </w:r>
          </w:p>
        </w:tc>
      </w:tr>
      <w:tr>
        <w:trPr>
          <w:cantSplit w:val="true"/>
        </w:trPr>
        <w:tc>
          <w:tcPr>
            <w:tcW w:w="29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первичной поверке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108" w:righ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периодической (внеочередной) поверке</w:t>
            </w:r>
          </w:p>
        </w:tc>
        <w:tc>
          <w:tcPr>
            <w:tcW w:w="2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Внешний осмотр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2. Проверка электрической прочности изоляции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Установка для  испытания электрической прочности изоляции УПУ-10</w:t>
            </w:r>
            <w:r>
              <w:rPr>
                <w:rFonts w:cs="Times New Roman" w:ascii="Times New Roman" w:hAnsi="Times New Roman"/>
              </w:rPr>
              <w:t xml:space="preserve"> пост. и перем.  напряжением  (0…4000) В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Опробование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Установка    К68001</w:t>
            </w:r>
            <w:r>
              <w:rPr>
                <w:rFonts w:cs="Times New Roman" w:ascii="Times New Roman" w:hAnsi="Times New Roman"/>
              </w:rPr>
              <w:t>: измерение основной погрешности счётчиков класса 1,0; номинальное напряжение 3*220/380 В, ток (0,01...100) А.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Источник питания Б5-30</w:t>
            </w:r>
            <w:r>
              <w:rPr>
                <w:rFonts w:cs="Times New Roman" w:ascii="Times New Roman" w:hAnsi="Times New Roman"/>
              </w:rPr>
              <w:t>: постоянное напряжение (5….24) В, ток (0…50) мА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 Проверка метрологических характеристик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3.1. Определение значений погрешностей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5" w:hRule="atLeast"/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3.2. Проверка порога чувствительности и отсутствия самохода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1"/>
              <w:ind w:firstLine="60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Примечания</w:t>
            </w:r>
          </w:p>
          <w:p>
            <w:pPr>
              <w:pStyle w:val="21"/>
              <w:ind w:firstLine="601"/>
              <w:rPr/>
            </w:pPr>
            <w:r>
              <w:rPr/>
              <w:t>1 Допускается проведение поверки счётчика с применением средств поверки, не указанных в таблице,  но  обеспечивающих определение и контроль метрологических характеристик поверяемых счётчиков с требуемой точностью.</w:t>
            </w:r>
          </w:p>
          <w:p>
            <w:pPr>
              <w:pStyle w:val="BodyTextIndent2"/>
              <w:ind w:firstLine="601"/>
              <w:rPr/>
            </w:pPr>
            <w:r>
              <w:rPr/>
              <w:t>2 Средства поверки должны быть поверены и иметь действующее клеймо поверки.</w:t>
            </w:r>
          </w:p>
          <w:p>
            <w:pPr>
              <w:pStyle w:val="Normal"/>
              <w:ind w:firstLine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21"/>
        <w:rPr/>
      </w:pPr>
      <w:r>
        <w:rPr/>
      </w:r>
    </w:p>
    <w:p>
      <w:pPr>
        <w:pStyle w:val="Heading3"/>
        <w:spacing w:lineRule="auto" w:line="240"/>
        <w:jc w:val="both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Heading3"/>
        <w:spacing w:lineRule="auto" w:line="240"/>
        <w:jc w:val="both"/>
        <w:rPr>
          <w:b/>
          <w:b/>
          <w:sz w:val="28"/>
        </w:rPr>
      </w:pPr>
      <w:r>
        <w:rPr>
          <w:b/>
          <w:sz w:val="28"/>
        </w:rPr>
        <w:tab/>
      </w:r>
    </w:p>
    <w:p>
      <w:pPr>
        <w:pStyle w:val="Heading3"/>
        <w:spacing w:lineRule="auto" w:line="240"/>
        <w:jc w:val="both"/>
        <w:rPr>
          <w:b/>
          <w:b/>
          <w:sz w:val="28"/>
        </w:rPr>
      </w:pPr>
      <w:r>
        <w:rPr>
          <w:b/>
          <w:sz w:val="28"/>
        </w:rPr>
        <w:tab/>
        <w:t>2  Требования   безопасности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BodyTextIndent2"/>
        <w:rPr/>
      </w:pPr>
      <w:r>
        <w:rPr/>
        <w:t>2.1 При проведении поверки должны быть соблюдены требования ГОСТ12.2.007.0-75  и  «Правила  технической  эксплуатации электроустановок  потребителей  и  правила техники безопасности при эксплуатации электроустановок  потребителей»,  утвержденные Главгосэнергонадзором.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  <w:sz w:val="28"/>
        </w:rPr>
        <w:t>3 Требования  к  квалификации  поверителей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3.1 Поверку проводят лица, аттестованные Федеральным Агентством по техническому регулированию и метрологии  на право поверки счётчиков электрической энергии.</w:t>
      </w:r>
    </w:p>
    <w:p>
      <w:pPr>
        <w:pStyle w:val="31"/>
        <w:widowControl/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rPr/>
      </w:pPr>
      <w:r>
        <w:rPr/>
        <w:tab/>
        <w:t>3.2 Все действия по проведению измерений при проверке счётчика электроэнергии и обработки результатов измерений проводят лица, изучившие настоящий документ, руководство по эксплуатации используемых средств измерений и вспомогательных средств поверки.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2"/>
        <w:spacing w:lineRule="auto" w:line="240"/>
        <w:jc w:val="both"/>
        <w:rPr/>
      </w:pPr>
      <w:r>
        <w:rPr>
          <w:b/>
        </w:rPr>
        <w:tab/>
      </w:r>
      <w:r>
        <w:rPr>
          <w:b/>
          <w:sz w:val="28"/>
        </w:rPr>
        <w:t xml:space="preserve">4  Условия   поверки   </w:t>
      </w:r>
    </w:p>
    <w:p>
      <w:pPr>
        <w:pStyle w:val="Normal"/>
        <w:ind w:left="2880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4.1  Порядок  представления  счётчика  на  поверку должен соответствовать требованиям ПР 50.2.006-94.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4.2  При проведении поверки  должны  соблюдаться  условия, установленные ГОСТ 30207-94: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 xml:space="preserve">Температура окружающего воздуха, 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>С</w:t>
        <w:tab/>
        <w:tab/>
        <w:tab/>
        <w:t xml:space="preserve">                 </w:t>
        <w:tab/>
        <w:t xml:space="preserve">  23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2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</w:rPr>
        <w:t xml:space="preserve">Относительная влажность воздуха, </w:t>
      </w:r>
      <w:r>
        <w:rPr>
          <w:rFonts w:eastAsia="Symbol" w:cs="Symbol" w:ascii="Symbol" w:hAnsi="Symbol"/>
        </w:rPr>
        <w:t></w:t>
      </w:r>
      <w:r>
        <w:rPr>
          <w:rFonts w:cs="Times New Roman" w:ascii="Times New Roman" w:hAnsi="Times New Roman"/>
        </w:rPr>
        <w:t xml:space="preserve">                </w:t>
        <w:tab/>
        <w:tab/>
        <w:tab/>
        <w:t xml:space="preserve">          от 30 до 80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Атмосферное давление, мм рт. ст.                     </w:t>
        <w:tab/>
        <w:tab/>
        <w:tab/>
        <w:t xml:space="preserve">         от 630 до 795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Внешнее магнитное поле                                   </w:t>
        <w:tab/>
        <w:tab/>
        <w:tab/>
        <w:tab/>
        <w:t>отсутствует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Частота измерительной сети, Гц                            </w:t>
        <w:tab/>
        <w:tab/>
        <w:tab/>
        <w:tab/>
        <w:t xml:space="preserve">  50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0,3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Форма кривой напряжения и тока измерительной сети</w:t>
        <w:tab/>
        <w:tab/>
        <w:t xml:space="preserve">        синусоидальная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   Кг не более 2 %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Отклонение номинального напряжения            </w:t>
        <w:tab/>
        <w:tab/>
        <w:tab/>
        <w:tab/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1,0 %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  Поверка  должна проводиться на аттестованном оборудовании  с применением  средств  поверки,  имеющих  действующее клеймо поверки.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5 Подготовка к поверке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 проведением поверки следует выполнить следующие подготовительные работы: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/>
      </w:pPr>
      <w:r>
        <w:rPr>
          <w:rFonts w:cs="Times New Roman" w:ascii="Times New Roman" w:hAnsi="Times New Roman"/>
        </w:rPr>
        <w:t>5.1 Проверить наличие и работоспособность средств поверки, перечисленных в таблице 1.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 Проверить наличие действующих свидетельств о поверке (аттестации) и оттисков поверительных клейм у средств поверки.</w:t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 Проверить наличие заземления всех составных частей поверочной схемы.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/>
      </w:pPr>
      <w:r>
        <w:rPr>
          <w:rFonts w:cs="Times New Roman" w:ascii="Times New Roman" w:hAnsi="Times New Roman"/>
        </w:rPr>
        <w:t>5.4 Подготовить средства поверки к работе в соответствии с руководством по их эксплуатации.</w:t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5.5 Проверить работоспособность  средств поверки путём их пробного пуска.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2"/>
        <w:spacing w:lineRule="auto" w:line="240"/>
        <w:jc w:val="both"/>
        <w:rPr>
          <w:b/>
          <w:b/>
        </w:rPr>
      </w:pPr>
      <w:r>
        <w:rPr>
          <w:b/>
        </w:rPr>
        <w:tab/>
      </w:r>
    </w:p>
    <w:p>
      <w:pPr>
        <w:pStyle w:val="Heading2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Heading2"/>
        <w:spacing w:lineRule="auto" w:line="240"/>
        <w:jc w:val="both"/>
        <w:rPr/>
      </w:pPr>
      <w:r>
        <w:rPr>
          <w:b/>
        </w:rPr>
        <w:tab/>
      </w:r>
      <w:r>
        <w:rPr>
          <w:b/>
          <w:sz w:val="28"/>
        </w:rPr>
        <w:t>6 Проведение   поверки</w:t>
      </w:r>
    </w:p>
    <w:p>
      <w:pPr>
        <w:pStyle w:val="Normal"/>
        <w:ind w:left="3615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6.1  Внешний осмотр </w:t>
      </w:r>
    </w:p>
    <w:p>
      <w:pPr>
        <w:pStyle w:val="21"/>
        <w:rPr/>
      </w:pPr>
      <w:r>
        <w:rPr/>
        <w:t>6.1.1  При внешнем  осмотре  должно  быть установлено соответствие счётчика следующим требованиям: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лицевая панель счётчика должна быть чистой и иметь  чёткую маркировку в соответствии с требованиями конструкторской документации;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во все резьбовые отверстия токоотводов должны быть ввёрнуты до упора винты с исправной резьбой;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на крышке зажимной колодки счётчика должна быть нанесена схема подключения счётчика к электрической сети;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комплекте поставки счётчика должен быть паспорт.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6.1.2 На лицевую часть панели счётчика должно быть нанесено офсетной печатью или другим способом, не ухудшающим качества: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типа счётчика: «Меркурий 231АМ-01»;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класс точности по ГОСТ 8.401-80;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единиц учёта электрической энергии;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передаточное число;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счётчика по системе нумерации предприятия-изготовителя;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номинальная и максимальная сила тока;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номинальное напряжение;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номинальная частота энергосети;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товарный знак предприятия-изготовителя;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год изготовления счётчика;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утверждения типа по ПР 50.2.009-94;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соответствия по  ГОСТ Р 50460-92;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испытательное напряжение изоляции (символ С2 по ГОСТ 23217-78);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ГОСТ 30207-94;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подключения счётчика к электрической сети по ГОСТ 25372-82;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двойного квадрата по ГОСТ 25874-83.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1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6.2  Проверка электрической прочности изоляции </w:t>
      </w:r>
    </w:p>
    <w:p>
      <w:pPr>
        <w:pStyle w:val="21"/>
        <w:rPr/>
      </w:pPr>
      <w:r>
        <w:rPr/>
        <w:t xml:space="preserve">6.2.1 При проверке электрической прочности изоляции испытательное напряжение подают начиная с минимального или со  значения рабочего напряжения. Увеличение напряжения  до  испытательного значения следует производить плавно или равномерно ступенями за время (5 </w:t>
      </w:r>
      <w:r>
        <w:rPr>
          <w:rFonts w:eastAsia="Symbol" w:cs="Symbol" w:ascii="Symbol" w:hAnsi="Symbol"/>
        </w:rPr>
        <w:t></w:t>
      </w:r>
      <w:r>
        <w:rPr/>
        <w:t xml:space="preserve"> 10) с.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6.2.2 Результат  проверки  считают  положительным,   если электрическая  изоляция выдерживает в течение одной минуты напряжение переменного тока частотой 50 Гц  между  соединенными  между собой  цепями X1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>Х14, Х15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 xml:space="preserve">Х16 и «землёй» не менее 4 кВ  (среднеквадратическое  значение). 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6.3  Опробование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6.3.1  При опробовании проверяется функционирование суммирующего устройства счётчика – устройства отсчётного (УО).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Проверку проводят на измерительной установке К68001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Подключите счётчик к установке К68001. Установите на К68001 фазные напряжения 220 В, ток в нагрузке отсутствует.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Запишите значение потребленной электроэнергии с УО.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Установите на установке ток 5 А при коэффициенте мощности 1,0 в каждой фазе. Светодиодный индикатор должен периодически мигать.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На УО счётчика должно происходить увеличение значения потреблённой электроэнергии.</w:t>
      </w:r>
    </w:p>
    <w:p>
      <w:pPr>
        <w:pStyle w:val="TextBodyIndent"/>
        <w:tabs>
          <w:tab w:val="clear" w:pos="720"/>
          <w:tab w:val="left" w:pos="1276" w:leader="none"/>
        </w:tabs>
        <w:spacing w:lineRule="auto" w:line="240"/>
        <w:rPr/>
      </w:pPr>
      <w:r>
        <w:rPr>
          <w:rFonts w:cs="Times New Roman" w:ascii="Times New Roman" w:hAnsi="Times New Roman"/>
        </w:rPr>
        <w:t>По истечении 15 мин  запишите новое значение потреблённой электроэнергии. Убедитесь, что разница ранее записанного и нового значения электроэнергии счётчика находится  в пределах (0,8…0,85)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 xml:space="preserve">ч.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Если все описанные действия завершились успешно, то счётчик функционирует исправно. Счётчик считается опробованным.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21"/>
        <w:rPr/>
      </w:pPr>
      <w:r>
        <w:rPr>
          <w:b/>
          <w:bCs/>
          <w:i/>
          <w:iCs/>
        </w:rPr>
        <w:t xml:space="preserve">6.4  Определение порога чувствительности, отсутствия самохода, значений погрешности счётчика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6.4.1  Погрешность счётчика определяют путём сличения на установке К68001. Перед началом поверки счётчик должен быть выдержан под номинальным напряжением не менее 10  минут. 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6.4.2  Последовательность испытаний,  информативные  параметры входного сигнала и пределы допускаемого значения основной погрешности приведены в таблице 2.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ab/>
        <w:t>Результаты испытаний считаются положительными,  и счётчик соответствует классу точности, если во всех измерениях погрешность находится в пределах допускаемых значений  погрешности, приведённых в таблице 2.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ab/>
      </w:r>
      <w:r>
        <w:rPr/>
        <w:t>Таблица 2</w:t>
      </w:r>
    </w:p>
    <w:tbl>
      <w:tblPr>
        <w:tblW w:w="9564" w:type="dxa"/>
        <w:jc w:val="left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90"/>
        <w:gridCol w:w="1701"/>
        <w:gridCol w:w="1134"/>
        <w:gridCol w:w="2552"/>
        <w:gridCol w:w="2419"/>
      </w:tblGrid>
      <w:tr>
        <w:trPr>
          <w:tblHeader w:val="true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Информативные параметры входного сигнала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Пределы погрешности,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</w:rPr>
              <w:t>Время измерения,</w:t>
            </w:r>
          </w:p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с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3*0,05I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3*I m</w:t>
            </w:r>
            <w:r>
              <w:rPr>
                <w:rFonts w:cs="Times New Roman" w:ascii="Times New Roman" w:hAnsi="Times New Roman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 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инд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3*0,1 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 емк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 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инд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3*0,2 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 емк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инд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 емк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3*U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3*I m</w:t>
            </w:r>
            <w:r>
              <w:rPr>
                <w:rFonts w:cs="Times New Roman" w:ascii="Times New Roman" w:hAnsi="Times New Roman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инд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3*I m</w:t>
            </w:r>
            <w:r>
              <w:rPr>
                <w:rFonts w:cs="Times New Roman" w:ascii="Times New Roman" w:hAnsi="Times New Roman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0,8 </w:t>
            </w:r>
            <w:r>
              <w:rPr>
                <w:rFonts w:cs="Times New Roman" w:ascii="Times New Roman" w:hAnsi="Times New Roman"/>
              </w:rPr>
              <w:t>емк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1*0,1I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3*U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1*I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3*U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1* I m</w:t>
            </w:r>
            <w:r>
              <w:rPr>
                <w:rFonts w:cs="Times New Roman" w:ascii="Times New Roman" w:hAnsi="Times New Roman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1*0,2 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инд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3*U 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1*I 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инд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±2,0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3*U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1* I m</w:t>
            </w:r>
            <w:r>
              <w:rPr>
                <w:rFonts w:cs="Times New Roman" w:ascii="Times New Roman" w:hAnsi="Times New Roman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инд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±2,0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8" w:leader="none"/>
                <w:tab w:val="left" w:pos="720" w:leader="none"/>
                <w:tab w:val="left" w:pos="1152" w:leader="none"/>
                <w:tab w:val="left" w:pos="2448" w:leader="none"/>
                <w:tab w:val="left" w:pos="4032" w:leader="none"/>
                <w:tab w:val="left" w:pos="5040" w:leader="none"/>
                <w:tab w:val="left" w:pos="5472" w:leader="none"/>
                <w:tab w:val="left" w:pos="6768" w:leader="none"/>
                <w:tab w:val="left" w:pos="6912" w:leader="none"/>
                <w:tab w:val="left" w:pos="7920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</w:tbl>
    <w:p>
      <w:pPr>
        <w:pStyle w:val="Normal"/>
        <w:ind w:left="40"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Испытания 13-18 (таблица 2) с однофазной нагрузкой при симметрии фазных напряжений необходимо проводить последовательно для каждой из фаз отдельно.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Изменение погрешности при двух, трех измерениях не должно превышать 0,1 допускаемого значения погрешности (таблица 2).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6.4.3  Проверка порога чувствительности.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 xml:space="preserve">Проверку  порога  чувствительности  проводят  на установке К68001 при номинальном напряжении  220 В, коэффициенте мощности, равном единице, и значении  силы  тока  в каждой фазе  0,0125 А. 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Результаты испытаний считаются положительными, если счётчик регистрирует электроэнергию за время, не превышающее 10 мин.: телеметрический выход счётчика периодически меняет своё состояние (проверяется по светодиодному индикатору счётчика или установки К68001).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  <w:i/>
          <w:iCs/>
        </w:rPr>
        <w:t xml:space="preserve">Примечание </w:t>
      </w:r>
      <w:r>
        <w:rPr>
          <w:rFonts w:cs="Times New Roman" w:ascii="Times New Roman" w:hAnsi="Times New Roman"/>
        </w:rPr>
        <w:t>- Перед началом испытаний счётчик должен быть выдержан под номинальным напряжении не менее 10 мин.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6.4.4  При проверке самохода установить в параллельной цепи счётчика напряжение 253 В.  Ток в последовательной цепи должен отсутствовать. При этом необходимо контролировать с помощью секундомера период мигания светового индикатора потребляемой мощности счётчика на установке К68001.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Счётчик не должен создавать на импульсном выходе более одного импульса за период времени в минутах 60000/К,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где К – число импульсов, создаваемых выходным устройством счётчика, на киловатт-час. Отсчёт можно вести по светодиодному индикатору счётчика или К68001.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Heading6"/>
        <w:ind w:firstLine="709"/>
        <w:jc w:val="both"/>
        <w:rPr>
          <w:i w:val="false"/>
          <w:i w:val="false"/>
        </w:rPr>
      </w:pPr>
      <w:r>
        <w:rPr>
          <w:i w:val="false"/>
        </w:rPr>
        <w:t>7  Оформление   результатов   поверки</w:t>
      </w:r>
    </w:p>
    <w:p>
      <w:pPr>
        <w:pStyle w:val="Normal"/>
        <w:ind w:left="735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7.1 Положительные результаты поверки оформляются протоколом, пломбируют или накладывают оттиск поверительного клейма в соответствии с ПР 50.2.007 и делается запись в паспорте.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7.2  Счётчики, прошедшие поверку с отрицательным результатом бракуются, клеймо предыдущей поверки гасят, а счётчик изымают из обращения. Отрицательные результаты поверки оформляются в соответствии с требованиями  ПР 50.2.006.</w:t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 регистрации  изменений</w:t>
      </w:r>
    </w:p>
    <w:tbl>
      <w:tblPr>
        <w:tblW w:w="10080" w:type="dxa"/>
        <w:jc w:val="left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7"/>
        <w:gridCol w:w="1028"/>
        <w:gridCol w:w="922"/>
        <w:gridCol w:w="1134"/>
        <w:gridCol w:w="1134"/>
        <w:gridCol w:w="1276"/>
        <w:gridCol w:w="1276"/>
        <w:gridCol w:w="850"/>
        <w:gridCol w:w="724"/>
      </w:tblGrid>
      <w:tr>
        <w:trPr>
          <w:trHeight w:val="600" w:hRule="exac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Изм.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листов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(страниц)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докум.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</w:p>
          <w:p>
            <w:pPr>
              <w:pStyle w:val="Normal"/>
              <w:spacing w:before="20" w:after="20"/>
              <w:ind w:right="-9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Входящий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сопровод. докум.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</w:tr>
      <w:tr>
        <w:trPr>
          <w:trHeight w:val="839" w:hRule="exac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изменен-ных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заменен-ных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аннулированных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2552" w:leader="none"/>
          <w:tab w:val="left" w:pos="5812" w:leader="none"/>
          <w:tab w:val="left" w:pos="6096" w:leader="none"/>
        </w:tabs>
        <w:spacing w:lineRule="auto" w:line="360"/>
        <w:ind w:right="28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12"/>
      <w:footerReference w:type="default" r:id="rId13"/>
      <w:type w:val="nextPage"/>
      <w:pgSz w:w="11906" w:h="16838"/>
      <w:pgMar w:left="1531" w:right="680" w:header="0" w:top="993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716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1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95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1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7165"/>
              <wp:effectExtent l="0" t="0" r="0" b="0"/>
              <wp:wrapSquare wrapText="largest"/>
              <wp:docPr id="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95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1">
              <wp:simplePos x="0" y="0"/>
              <wp:positionH relativeFrom="column">
                <wp:posOffset>2210435</wp:posOffset>
              </wp:positionH>
              <wp:positionV relativeFrom="paragraph">
                <wp:posOffset>-1217930</wp:posOffset>
              </wp:positionV>
              <wp:extent cx="2391410" cy="832485"/>
              <wp:effectExtent l="0" t="0" r="0" b="0"/>
              <wp:wrapNone/>
              <wp:docPr id="5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1410" cy="8324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 xml:space="preserve">Счётчик электрической энергии трёхфазный статический  </w:t>
                          </w:r>
                        </w:p>
                        <w:p>
                          <w:pPr>
                            <w:pStyle w:val="TextBody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«Меркурий 231АМ-01»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Методика поверки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88.3pt;height:65.55pt;mso-wrap-distance-left:9.05pt;mso-wrap-distance-right:9.05pt;mso-wrap-distance-top:0pt;mso-wrap-distance-bottom:0pt;margin-top:-95.9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 xml:space="preserve">Счётчик электрической энергии трёхфазный статический  </w:t>
                    </w:r>
                  </w:p>
                  <w:p>
                    <w:pPr>
                      <w:pStyle w:val="TextBody"/>
                      <w:rPr/>
                    </w:pPr>
                    <w:r>
                      <w:rPr>
                        <w:rFonts w:cs="Times New Roman" w:ascii="Times New Roman" w:hAnsi="Times New Roman"/>
                      </w:rPr>
                      <w:t>«Меркурий 231АМ-01»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Методика поверки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2">
              <wp:simplePos x="0" y="0"/>
              <wp:positionH relativeFrom="column">
                <wp:posOffset>2210435</wp:posOffset>
              </wp:positionH>
              <wp:positionV relativeFrom="paragraph">
                <wp:posOffset>-1707515</wp:posOffset>
              </wp:positionV>
              <wp:extent cx="4047490" cy="299720"/>
              <wp:effectExtent l="0" t="0" r="0" b="0"/>
              <wp:wrapNone/>
              <wp:docPr id="6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2997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aps/>
                              <w:sz w:val="28"/>
                            </w:rPr>
                            <w:t>АВЛГ.411152.027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8.7pt;height:23.6pt;mso-wrap-distance-left:9.05pt;mso-wrap-distance-right:9.05pt;mso-wrap-distance-top:0pt;mso-wrap-distance-bottom:0pt;margin-top:-134.45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caps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caps/>
                        <w:sz w:val="28"/>
                      </w:rPr>
                      <w:t>АВЛГ.411152.027  И3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3">
              <wp:simplePos x="0" y="0"/>
              <wp:positionH relativeFrom="column">
                <wp:posOffset>583565</wp:posOffset>
              </wp:positionH>
              <wp:positionV relativeFrom="paragraph">
                <wp:posOffset>-1228725</wp:posOffset>
              </wp:positionV>
              <wp:extent cx="615950" cy="144780"/>
              <wp:effectExtent l="0" t="0" r="0" b="0"/>
              <wp:wrapNone/>
              <wp:docPr id="7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96.75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4">
              <wp:simplePos x="0" y="0"/>
              <wp:positionH relativeFrom="column">
                <wp:posOffset>583565</wp:posOffset>
              </wp:positionH>
              <wp:positionV relativeFrom="paragraph">
                <wp:posOffset>-1049020</wp:posOffset>
              </wp:positionV>
              <wp:extent cx="615950" cy="144780"/>
              <wp:effectExtent l="0" t="0" r="0" b="0"/>
              <wp:wrapNone/>
              <wp:docPr id="8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82.6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5">
              <wp:simplePos x="0" y="0"/>
              <wp:positionH relativeFrom="column">
                <wp:posOffset>5778500</wp:posOffset>
              </wp:positionH>
              <wp:positionV relativeFrom="paragraph">
                <wp:posOffset>-976630</wp:posOffset>
              </wp:positionV>
              <wp:extent cx="442595" cy="144780"/>
              <wp:effectExtent l="0" t="0" r="0" b="0"/>
              <wp:wrapNone/>
              <wp:docPr id="9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eastAsia="Arial"/>
                            </w:rPr>
                            <w:t xml:space="preserve">  </w:t>
                          </w:r>
                          <w:r>
                            <w:rPr>
                              <w:rStyle w:val="Style6"/>
                            </w:rPr>
                            <w:t>9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.85pt;height:11.4pt;mso-wrap-distance-left:9.05pt;mso-wrap-distance-right:9.05pt;mso-wrap-distance-top:0pt;mso-wrap-distance-bottom:0pt;margin-top:-76.9pt;mso-position-vertical-relative:text;margin-left:45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40"/>
                      <w:jc w:val="center"/>
                      <w:rPr/>
                    </w:pPr>
                    <w:r>
                      <w:rPr>
                        <w:rStyle w:val="Style6"/>
                        <w:rFonts w:eastAsia="Arial"/>
                      </w:rPr>
                      <w:t xml:space="preserve">  </w:t>
                    </w:r>
                    <w:r>
                      <w:rPr>
                        <w:rStyle w:val="Style6"/>
                      </w:rPr>
                      <w:t>9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7">
              <wp:simplePos x="0" y="0"/>
              <wp:positionH relativeFrom="column">
                <wp:posOffset>548640</wp:posOffset>
              </wp:positionH>
              <wp:positionV relativeFrom="paragraph">
                <wp:posOffset>-673100</wp:posOffset>
              </wp:positionV>
              <wp:extent cx="688340" cy="144780"/>
              <wp:effectExtent l="0" t="0" r="0" b="0"/>
              <wp:wrapNone/>
              <wp:docPr id="10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4.2pt;height:11.4pt;mso-wrap-distance-left:9.05pt;mso-wrap-distance-right:9.05pt;mso-wrap-distance-top:0pt;mso-wrap-distance-bottom:0pt;margin-top:-53pt;mso-position-vertical-relative:text;margin-left:43.2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2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3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>
                        <w:rStyle w:val="Style6"/>
                        <w:rFonts w:ascii="Times New Roman" w:hAnsi="Times New Roman" w:cs="Times New Roman"/>
                      </w:rPr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3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6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3" name="Fram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АВЛГ.411152.027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АВЛГ.411152.027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5" name="Frame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4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4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9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6" name="Fram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АВЛГ.411152.027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АВЛГ.411152.027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8" name="Frame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5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5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3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9" name="Frame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АВЛГ.411152.027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АВЛГ.411152.027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28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21" name="Frame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9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9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2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22" name="Frame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АВЛГ.411152.027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АВЛГ.411152.027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7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6770" cy="10483850"/>
              <wp:effectExtent l="0" t="0" r="0" b="0"/>
              <wp:wrapNone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770" cy="104838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5.75pt" o:ole="">
                                <v:imagedata r:id="rId2" o:title=""/>
                              </v:shape>
                              <o:OLEObject Type="Embed" ProgID="" ShapeID="ole_rId1" DrawAspect="Content" ObjectID="_395116171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5.1pt;height:825.5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5.75pt" o:ole="">
                          <v:imagedata r:id="rId4" o:title=""/>
                        </v:shape>
                        <o:OLEObject Type="Embed" ProgID="" ShapeID="ole_rId3" DrawAspect="Content" ObjectID="_1244612824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9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4865" cy="10436860"/>
              <wp:effectExtent l="0" t="0" r="0" b="0"/>
              <wp:wrapNone/>
              <wp:docPr id="3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4865" cy="104368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1.75pt" o:ole="">
                                <v:imagedata r:id="rId2" o:title=""/>
                              </v:shape>
                              <o:OLEObject Type="Embed" ProgID="" ShapeID="ole_rId1" DrawAspect="Content" ObjectID="_334415042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4.95pt;height:821.8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1.75pt" o:ole="">
                          <v:imagedata r:id="rId4" o:title=""/>
                        </v:shape>
                        <o:OLEObject Type="Embed" ProgID="" ShapeID="ole_rId3" DrawAspect="Content" ObjectID="_616745946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5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1" name="Fram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400185622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165222667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0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4" name="Frame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955546302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912643260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4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7" name="Frame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2146943081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962544022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36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20" name="Frame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921827813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86652993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left" w:pos="720" w:leader="none"/>
        <w:tab w:val="left" w:pos="7056" w:leader="none"/>
      </w:tabs>
      <w:spacing w:lineRule="atLeast" w:line="480"/>
      <w:jc w:val="center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720" w:leader="none"/>
        <w:tab w:val="left" w:pos="7056" w:leader="none"/>
      </w:tabs>
      <w:spacing w:lineRule="atLeast" w:line="480"/>
      <w:jc w:val="right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sz w:val="3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i/>
      <w:sz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left="862" w:firstLine="578"/>
      <w:jc w:val="center"/>
      <w:outlineLvl w:val="8"/>
    </w:pPr>
    <w:rPr>
      <w:rFonts w:ascii="Times New Roman" w:hAnsi="Times New Roman" w:cs="Times New Roman"/>
      <w:b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qFormat/>
    <w:rPr/>
  </w:style>
  <w:style w:type="character" w:styleId="Style7">
    <w:name w:val="знак примечания"/>
    <w:basedOn w:val="Style5"/>
    <w:qFormat/>
    <w:rPr>
      <w:sz w:val="16"/>
    </w:rPr>
  </w:style>
  <w:style w:type="character" w:styleId="InternetLink">
    <w:name w:val="Hyperlink"/>
    <w:basedOn w:val="Style5"/>
    <w:rPr>
      <w:color w:val="0000FF"/>
      <w:u w:val="single"/>
    </w:rPr>
  </w:style>
  <w:style w:type="character" w:styleId="VisitedInternetLink">
    <w:name w:val="FollowedHyperlink"/>
    <w:basedOn w:val="Style5"/>
    <w:rPr>
      <w:color w:val="800080"/>
      <w:u w:val="single"/>
    </w:rPr>
  </w:style>
  <w:style w:type="character" w:styleId="Style8">
    <w:name w:val="знак сноски"/>
    <w:basedOn w:val="Style5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Normal"/>
    <w:pPr>
      <w:ind w:left="283" w:hanging="283"/>
    </w:pPr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jc w:val="center"/>
    </w:pPr>
    <w:rPr>
      <w:kern w:val="2"/>
      <w:u w:val="single"/>
    </w:rPr>
  </w:style>
  <w:style w:type="paragraph" w:styleId="2">
    <w:name w:val="Основной текст 2"/>
    <w:basedOn w:val="Normal"/>
    <w:qFormat/>
    <w:pPr>
      <w:spacing w:lineRule="auto" w:line="360"/>
      <w:ind w:firstLine="709"/>
      <w:jc w:val="both"/>
    </w:pPr>
    <w:rPr/>
  </w:style>
  <w:style w:type="paragraph" w:styleId="Style9">
    <w:name w:val="Маркированный список"/>
    <w:basedOn w:val="Normal"/>
    <w:qFormat/>
    <w:pPr>
      <w:ind w:firstLine="709"/>
      <w:jc w:val="center"/>
    </w:pPr>
    <w:rPr>
      <w:kern w:val="2"/>
    </w:rPr>
  </w:style>
  <w:style w:type="paragraph" w:styleId="Style10">
    <w:name w:val="Цитата"/>
    <w:basedOn w:val="Normal"/>
    <w:qFormat/>
    <w:pPr>
      <w:spacing w:lineRule="atLeast" w:line="240"/>
      <w:ind w:left="330" w:right="88" w:firstLine="440"/>
      <w:jc w:val="both"/>
    </w:pPr>
    <w:rPr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1">
    <w:name w:val="Верх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2">
    <w:name w:val="Ниж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spacing w:lineRule="auto" w:line="360"/>
      <w:ind w:firstLine="709"/>
      <w:jc w:val="both"/>
    </w:pPr>
    <w:rPr/>
  </w:style>
  <w:style w:type="paragraph" w:styleId="3">
    <w:name w:val="Основной текст с отступом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ind w:firstLine="567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qFormat/>
    <w:pPr>
      <w:widowControl w:val="false"/>
      <w:ind w:firstLine="708"/>
      <w:jc w:val="both"/>
    </w:pPr>
    <w:rPr>
      <w:rFonts w:ascii="Times New Roman" w:hAnsi="Times New Roman" w:cs="Times New Roman"/>
    </w:rPr>
  </w:style>
  <w:style w:type="paragraph" w:styleId="31">
    <w:name w:val="Основной текст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21">
    <w:name w:val="Основной текст с отступом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4">
    <w:name w:val="Текст примечания"/>
    <w:basedOn w:val="Normal"/>
    <w:qFormat/>
    <w:pPr>
      <w:jc w:val="both"/>
    </w:pPr>
    <w:rPr/>
  </w:style>
  <w:style w:type="paragraph" w:styleId="Normal1">
    <w:name w:val="LO-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BodyText3">
    <w:name w:val="Body Text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5">
    <w:name w:val="Название объекта"/>
    <w:basedOn w:val="Normal"/>
    <w:next w:val="Normal"/>
    <w:qFormat/>
    <w:pPr>
      <w:jc w:val="center"/>
    </w:pPr>
    <w:rPr>
      <w:rFonts w:ascii="Times New Roman" w:hAnsi="Times New Roman" w:cs="Times New Roman"/>
      <w:b/>
    </w:rPr>
  </w:style>
  <w:style w:type="paragraph" w:styleId="22">
    <w:name w:val="оглавление 2"/>
    <w:basedOn w:val="Normal"/>
    <w:next w:val="Normal"/>
    <w:qFormat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Style16">
    <w:name w:val="Приложение"/>
    <w:basedOn w:val="Normal"/>
    <w:next w:val="Normal"/>
    <w:qFormat/>
    <w:pPr>
      <w:spacing w:lineRule="auto" w:line="360" w:before="60" w:after="0"/>
      <w:ind w:firstLine="680"/>
      <w:jc w:val="center"/>
    </w:pPr>
    <w:rPr>
      <w:b/>
      <w:u w:val="single"/>
    </w:rPr>
  </w:style>
  <w:style w:type="paragraph" w:styleId="Base">
    <w:name w:val="Base"/>
    <w:qFormat/>
    <w:pPr>
      <w:widowControl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Contents2">
    <w:name w:val="TOC 2"/>
    <w:basedOn w:val="Normal"/>
    <w:next w:val="Normal"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23">
    <w:name w:val="Маркированный список 2"/>
    <w:basedOn w:val="Normal"/>
    <w:qFormat/>
    <w:pPr>
      <w:numPr>
        <w:ilvl w:val="0"/>
        <w:numId w:val="3"/>
      </w:numPr>
      <w:tabs>
        <w:tab w:val="clear" w:pos="720"/>
        <w:tab w:val="left" w:pos="1134" w:leader="none"/>
      </w:tabs>
      <w:spacing w:lineRule="auto" w:line="360"/>
      <w:ind w:left="1134" w:hanging="425"/>
      <w:jc w:val="both"/>
    </w:pPr>
    <w:rPr>
      <w:rFonts w:ascii="Times New Roman" w:hAnsi="Times New Roman" w:cs="Times New Roman"/>
    </w:rPr>
  </w:style>
  <w:style w:type="paragraph" w:styleId="5">
    <w:name w:val="заголовок 5"/>
    <w:basedOn w:val="Normal"/>
    <w:next w:val="Normal"/>
    <w:qFormat/>
    <w:pPr>
      <w:keepNext w:val="true"/>
      <w:ind w:firstLine="284"/>
    </w:pPr>
    <w:rPr>
      <w:b/>
      <w:color w:val="FFFFFF"/>
      <w:sz w:val="22"/>
    </w:rPr>
  </w:style>
  <w:style w:type="paragraph" w:styleId="6">
    <w:name w:val="заголовок 6"/>
    <w:basedOn w:val="Normal"/>
    <w:next w:val="Normal"/>
    <w:qFormat/>
    <w:pPr>
      <w:keepNext w:val="true"/>
    </w:pPr>
    <w:rPr>
      <w:b/>
      <w:color w:val="FFFFFF"/>
      <w:sz w:val="22"/>
    </w:rPr>
  </w:style>
  <w:style w:type="paragraph" w:styleId="Style17">
    <w:name w:val="текст сноски"/>
    <w:basedOn w:val="Normal"/>
    <w:qFormat/>
    <w:pPr>
      <w:ind w:firstLine="567"/>
    </w:pPr>
    <w:rPr>
      <w:sz w:val="20"/>
    </w:rPr>
  </w:style>
  <w:style w:type="paragraph" w:styleId="Style18">
    <w:name w:val="текст примечания"/>
    <w:basedOn w:val="Normal"/>
    <w:qFormat/>
    <w:pPr>
      <w:ind w:firstLine="567"/>
    </w:pPr>
    <w:rPr>
      <w:sz w:val="20"/>
    </w:rPr>
  </w:style>
  <w:style w:type="paragraph" w:styleId="Style19">
    <w:name w:val="приложение"/>
    <w:basedOn w:val="Normal"/>
    <w:next w:val="Normal"/>
    <w:qFormat/>
    <w:pPr>
      <w:jc w:val="right"/>
    </w:pPr>
    <w:rPr>
      <w:b/>
      <w:sz w:val="28"/>
      <w:u w:val="singl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3.wmf"/><Relationship Id="rId3" Type="http://schemas.openxmlformats.org/officeDocument/2006/relationships/oleObject" Target="embeddings/oleObject4.bin"/><Relationship Id="rId4" Type="http://schemas.openxmlformats.org/officeDocument/2006/relationships/image" Target="media/image4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5.bin"/><Relationship Id="rId2" Type="http://schemas.openxmlformats.org/officeDocument/2006/relationships/image" Target="media/image5.wmf"/><Relationship Id="rId3" Type="http://schemas.openxmlformats.org/officeDocument/2006/relationships/oleObject" Target="embeddings/oleObject6.bin"/><Relationship Id="rId4" Type="http://schemas.openxmlformats.org/officeDocument/2006/relationships/image" Target="media/image6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oleObject" Target="embeddings/oleObject7.bin"/><Relationship Id="rId2" Type="http://schemas.openxmlformats.org/officeDocument/2006/relationships/image" Target="media/image7.wmf"/><Relationship Id="rId3" Type="http://schemas.openxmlformats.org/officeDocument/2006/relationships/oleObject" Target="embeddings/oleObject8.bin"/><Relationship Id="rId4" Type="http://schemas.openxmlformats.org/officeDocument/2006/relationships/image" Target="media/image8.wmf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oleObject" Target="embeddings/oleObject9.bin"/><Relationship Id="rId2" Type="http://schemas.openxmlformats.org/officeDocument/2006/relationships/image" Target="media/image9.wmf"/><Relationship Id="rId3" Type="http://schemas.openxmlformats.org/officeDocument/2006/relationships/oleObject" Target="embeddings/oleObject10.bin"/><Relationship Id="rId4" Type="http://schemas.openxmlformats.org/officeDocument/2006/relationships/image" Target="media/image10.wmf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oleObject" Target="embeddings/oleObject11.bin"/><Relationship Id="rId2" Type="http://schemas.openxmlformats.org/officeDocument/2006/relationships/image" Target="media/image11.wmf"/><Relationship Id="rId3" Type="http://schemas.openxmlformats.org/officeDocument/2006/relationships/oleObject" Target="embeddings/oleObject12.bin"/><Relationship Id="rId4" Type="http://schemas.openxmlformats.org/officeDocument/2006/relationships/image" Target="media/image1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FORMATTU.dot</Template>
  <TotalTime>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2015-02-06T10:49:00Z</dcterms:created>
  <dc:creator>ЗВС</dc:creator>
  <dc:description/>
  <cp:keywords> </cp:keywords>
  <dc:language>en-US</dc:language>
  <cp:lastModifiedBy>Admin</cp:lastModifiedBy>
  <cp:lastPrinted>2005-02-18T11:55:00Z</cp:lastPrinted>
  <dcterms:modified xsi:type="dcterms:W3CDTF">2015-02-06T10:49:00Z</dcterms:modified>
  <cp:revision>2</cp:revision>
  <dc:subject>Меркурий 231АМ-01</dc:subject>
  <dc:title>Методика поверки на однотарифный счётчик</dc:title>
</cp:coreProperties>
</file>