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A4" w:rsidRDefault="008F1CA4">
      <w:pPr>
        <w:pStyle w:val="3"/>
      </w:pPr>
      <w:r>
        <w:t>УТВЕРЖДАЮ</w:t>
      </w:r>
    </w:p>
    <w:p w:rsidR="008F1CA4" w:rsidRDefault="008F1CA4">
      <w:pPr>
        <w:pStyle w:val="5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Руководитель ГЦИ СИ-</w:t>
      </w:r>
    </w:p>
    <w:p w:rsidR="008F1CA4" w:rsidRDefault="008F1CA4">
      <w:pPr>
        <w:pStyle w:val="5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Зам. генерального директора ФГУ</w:t>
      </w:r>
    </w:p>
    <w:p w:rsidR="008F1CA4" w:rsidRDefault="008F1CA4">
      <w:pPr>
        <w:pStyle w:val="5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«РОСТЕСТ-Москва»</w:t>
      </w:r>
    </w:p>
    <w:p w:rsidR="008F1CA4" w:rsidRDefault="008F1CA4">
      <w:pPr>
        <w:jc w:val="right"/>
        <w:rPr>
          <w:sz w:val="24"/>
          <w:szCs w:val="24"/>
        </w:rPr>
      </w:pPr>
    </w:p>
    <w:p w:rsidR="008F1CA4" w:rsidRDefault="008F1CA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___________________А.С. Евдокимов</w:t>
      </w:r>
    </w:p>
    <w:p w:rsidR="008F1CA4" w:rsidRDefault="008F1CA4">
      <w:pPr>
        <w:jc w:val="right"/>
        <w:rPr>
          <w:sz w:val="24"/>
          <w:szCs w:val="24"/>
        </w:rPr>
      </w:pPr>
    </w:p>
    <w:p w:rsidR="008F1CA4" w:rsidRDefault="008F1CA4">
      <w:pPr>
        <w:jc w:val="right"/>
        <w:rPr>
          <w:sz w:val="24"/>
          <w:szCs w:val="24"/>
        </w:rPr>
      </w:pPr>
      <w:r>
        <w:rPr>
          <w:sz w:val="24"/>
          <w:szCs w:val="24"/>
        </w:rPr>
        <w:t>«_____»_________________2003 г.</w:t>
      </w:r>
    </w:p>
    <w:p w:rsidR="008F1CA4" w:rsidRDefault="008F1CA4">
      <w:pPr>
        <w:jc w:val="center"/>
        <w:rPr>
          <w:b/>
          <w:bCs/>
          <w:sz w:val="24"/>
          <w:szCs w:val="24"/>
        </w:rPr>
      </w:pPr>
    </w:p>
    <w:p w:rsidR="008F1CA4" w:rsidRDefault="008F1CA4">
      <w:pPr>
        <w:jc w:val="center"/>
        <w:rPr>
          <w:b/>
          <w:bCs/>
          <w:sz w:val="24"/>
          <w:szCs w:val="24"/>
        </w:rPr>
      </w:pPr>
    </w:p>
    <w:p w:rsidR="008F1CA4" w:rsidRDefault="008F1CA4">
      <w:pPr>
        <w:jc w:val="center"/>
        <w:rPr>
          <w:b/>
          <w:bCs/>
          <w:sz w:val="24"/>
          <w:szCs w:val="24"/>
        </w:rPr>
      </w:pPr>
    </w:p>
    <w:p w:rsidR="008F1CA4" w:rsidRDefault="008F1CA4">
      <w:pPr>
        <w:jc w:val="center"/>
        <w:rPr>
          <w:b/>
          <w:bCs/>
          <w:sz w:val="24"/>
          <w:szCs w:val="24"/>
        </w:rPr>
      </w:pPr>
    </w:p>
    <w:p w:rsidR="008F1CA4" w:rsidRDefault="008F1CA4">
      <w:pPr>
        <w:jc w:val="center"/>
        <w:rPr>
          <w:b/>
          <w:bCs/>
          <w:sz w:val="24"/>
          <w:szCs w:val="24"/>
        </w:rPr>
      </w:pPr>
    </w:p>
    <w:p w:rsidR="008F1CA4" w:rsidRDefault="008F1CA4">
      <w:pPr>
        <w:jc w:val="center"/>
        <w:rPr>
          <w:b/>
          <w:bCs/>
          <w:sz w:val="24"/>
          <w:szCs w:val="24"/>
        </w:rPr>
      </w:pPr>
    </w:p>
    <w:p w:rsidR="008F1CA4" w:rsidRDefault="008F1C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МЕТОДИКА ПОВЕРКИ</w:t>
      </w:r>
    </w:p>
    <w:p w:rsidR="008F1CA4" w:rsidRDefault="008F1CA4">
      <w:pPr>
        <w:jc w:val="center"/>
        <w:rPr>
          <w:sz w:val="24"/>
          <w:szCs w:val="24"/>
        </w:rPr>
      </w:pPr>
    </w:p>
    <w:p w:rsidR="008F1CA4" w:rsidRDefault="008F1CA4">
      <w:pPr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ВВЕДЕНИЕ</w:t>
      </w:r>
    </w:p>
    <w:p w:rsidR="008F1CA4" w:rsidRDefault="008F1CA4">
      <w:pPr>
        <w:ind w:left="360"/>
        <w:jc w:val="center"/>
        <w:rPr>
          <w:b/>
          <w:bCs/>
          <w:sz w:val="24"/>
          <w:szCs w:val="24"/>
        </w:rPr>
      </w:pPr>
    </w:p>
    <w:p w:rsidR="008F1CA4" w:rsidRDefault="008F1CA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Настоящая методика предусматривает объём и последовательность проведения операций поверки комплексов измерительных для диагностирования тормозной сист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мы и подвески автомобилей серии </w:t>
      </w:r>
      <w:r>
        <w:rPr>
          <w:sz w:val="24"/>
          <w:szCs w:val="24"/>
          <w:lang w:val="en-US"/>
        </w:rPr>
        <w:t>VIC</w:t>
      </w:r>
      <w:r>
        <w:rPr>
          <w:sz w:val="24"/>
          <w:szCs w:val="24"/>
        </w:rPr>
        <w:t xml:space="preserve"> модели 3000, 7000, фирмы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  <w:lang w:val="en-US"/>
        </w:rPr>
        <w:t>Snap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on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Equipment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SUN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Electric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Europe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.”, Нидерланды (далее по тексту комплекс) в качестве рабочего средства измерений.</w:t>
      </w:r>
    </w:p>
    <w:p w:rsidR="008F1CA4" w:rsidRDefault="008F1CA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Межповерочный интервал - 1 год.</w:t>
      </w:r>
    </w:p>
    <w:p w:rsidR="008F1CA4" w:rsidRDefault="008F1CA4">
      <w:pPr>
        <w:ind w:firstLine="425"/>
        <w:jc w:val="both"/>
        <w:rPr>
          <w:sz w:val="24"/>
          <w:szCs w:val="24"/>
        </w:rPr>
      </w:pPr>
    </w:p>
    <w:p w:rsidR="008F1CA4" w:rsidRDefault="008F1CA4">
      <w:pPr>
        <w:ind w:firstLine="426"/>
        <w:jc w:val="both"/>
        <w:rPr>
          <w:sz w:val="24"/>
          <w:szCs w:val="24"/>
        </w:rPr>
      </w:pPr>
    </w:p>
    <w:p w:rsidR="008F1CA4" w:rsidRDefault="008F1C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ОПЕРАЦИИ ПОВЕРКИ</w:t>
      </w:r>
    </w:p>
    <w:p w:rsidR="008F1CA4" w:rsidRDefault="008F1CA4">
      <w:pPr>
        <w:jc w:val="center"/>
        <w:rPr>
          <w:rFonts w:ascii="Pragmatica" w:hAnsi="Pragmatica" w:cs="Pragmatica"/>
          <w:b/>
          <w:bCs/>
        </w:rPr>
      </w:pPr>
    </w:p>
    <w:p w:rsidR="008F1CA4" w:rsidRDefault="008F1CA4">
      <w:pPr>
        <w:ind w:firstLine="426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При проведении первичной и периодической поверки необходимо выполнять операции, указанные в таблице 1.</w:t>
      </w:r>
    </w:p>
    <w:p w:rsidR="008F1CA4" w:rsidRDefault="008F1CA4">
      <w:pPr>
        <w:ind w:left="6599"/>
        <w:jc w:val="right"/>
        <w:rPr>
          <w:sz w:val="24"/>
          <w:szCs w:val="24"/>
        </w:rPr>
      </w:pPr>
      <w:r>
        <w:rPr>
          <w:sz w:val="24"/>
          <w:szCs w:val="24"/>
        </w:rPr>
        <w:t>Таблица 1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6242"/>
        <w:gridCol w:w="2835"/>
      </w:tblGrid>
      <w:tr w:rsidR="008F1CA4">
        <w:tblPrEx>
          <w:tblCellMar>
            <w:top w:w="0" w:type="dxa"/>
            <w:bottom w:w="0" w:type="dxa"/>
          </w:tblCellMar>
        </w:tblPrEx>
        <w:tc>
          <w:tcPr>
            <w:tcW w:w="6242" w:type="dxa"/>
          </w:tcPr>
          <w:p w:rsidR="008F1CA4" w:rsidRDefault="008F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операции</w:t>
            </w:r>
          </w:p>
        </w:tc>
        <w:tc>
          <w:tcPr>
            <w:tcW w:w="2830" w:type="dxa"/>
          </w:tcPr>
          <w:p w:rsidR="008F1CA4" w:rsidRDefault="008F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пункта методики </w:t>
            </w:r>
          </w:p>
        </w:tc>
      </w:tr>
      <w:tr w:rsidR="008F1CA4">
        <w:tblPrEx>
          <w:tblCellMar>
            <w:top w:w="0" w:type="dxa"/>
            <w:bottom w:w="0" w:type="dxa"/>
          </w:tblCellMar>
        </w:tblPrEx>
        <w:tc>
          <w:tcPr>
            <w:tcW w:w="6242" w:type="dxa"/>
          </w:tcPr>
          <w:p w:rsidR="008F1CA4" w:rsidRDefault="008F1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Внешний осмотр</w:t>
            </w:r>
          </w:p>
        </w:tc>
        <w:tc>
          <w:tcPr>
            <w:tcW w:w="2830" w:type="dxa"/>
          </w:tcPr>
          <w:p w:rsidR="008F1CA4" w:rsidRDefault="008F1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</w:tr>
      <w:tr w:rsidR="008F1CA4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8F1CA4" w:rsidRDefault="008F1CA4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Опробование</w:t>
            </w:r>
          </w:p>
        </w:tc>
        <w:tc>
          <w:tcPr>
            <w:tcW w:w="2835" w:type="dxa"/>
          </w:tcPr>
          <w:p w:rsidR="008F1CA4" w:rsidRDefault="008F1CA4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</w:tr>
      <w:tr w:rsidR="008F1CA4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8F1CA4" w:rsidRDefault="008F1CA4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Определение метрологических характеристик</w:t>
            </w:r>
          </w:p>
        </w:tc>
        <w:tc>
          <w:tcPr>
            <w:tcW w:w="2835" w:type="dxa"/>
          </w:tcPr>
          <w:p w:rsidR="008F1CA4" w:rsidRDefault="008F1CA4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</w:tr>
      <w:tr w:rsidR="008F1CA4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8F1CA4" w:rsidRDefault="008F1CA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погрешности измерений тормозной силы </w:t>
            </w:r>
          </w:p>
        </w:tc>
        <w:tc>
          <w:tcPr>
            <w:tcW w:w="2835" w:type="dxa"/>
          </w:tcPr>
          <w:p w:rsidR="008F1CA4" w:rsidRDefault="008F1CA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6.3.1</w:t>
            </w:r>
          </w:p>
        </w:tc>
      </w:tr>
      <w:tr w:rsidR="008F1CA4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bottom w:val="nil"/>
            </w:tcBorders>
          </w:tcPr>
          <w:p w:rsidR="008F1CA4" w:rsidRDefault="008F1CA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погрешности измерения силы, создаваемой на педали тормоза</w:t>
            </w:r>
          </w:p>
        </w:tc>
        <w:tc>
          <w:tcPr>
            <w:tcW w:w="2835" w:type="dxa"/>
            <w:tcBorders>
              <w:bottom w:val="nil"/>
            </w:tcBorders>
          </w:tcPr>
          <w:p w:rsidR="008F1CA4" w:rsidRDefault="008F1CA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6.3.2</w:t>
            </w:r>
          </w:p>
        </w:tc>
      </w:tr>
      <w:tr w:rsidR="008F1CA4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bottom w:val="single" w:sz="4" w:space="0" w:color="auto"/>
            </w:tcBorders>
          </w:tcPr>
          <w:p w:rsidR="008F1CA4" w:rsidRDefault="008F1CA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погрешности измерений статической нагру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ки на ось автомобиля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F1CA4" w:rsidRDefault="008F1CA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6.3.3</w:t>
            </w:r>
          </w:p>
        </w:tc>
      </w:tr>
      <w:tr w:rsidR="008F1CA4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bottom w:val="nil"/>
            </w:tcBorders>
          </w:tcPr>
          <w:p w:rsidR="008F1CA4" w:rsidRDefault="008F1CA4">
            <w:pPr>
              <w:pStyle w:val="1"/>
            </w:pPr>
            <w:r>
              <w:t>Определение степени износа приводных роликов</w:t>
            </w:r>
          </w:p>
        </w:tc>
        <w:tc>
          <w:tcPr>
            <w:tcW w:w="2835" w:type="dxa"/>
            <w:tcBorders>
              <w:bottom w:val="nil"/>
            </w:tcBorders>
          </w:tcPr>
          <w:p w:rsidR="008F1CA4" w:rsidRDefault="008F1CA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6.3.4</w:t>
            </w:r>
          </w:p>
        </w:tc>
      </w:tr>
      <w:tr w:rsidR="008F1CA4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bottom w:val="single" w:sz="4" w:space="0" w:color="auto"/>
            </w:tcBorders>
          </w:tcPr>
          <w:p w:rsidR="008F1CA4" w:rsidRDefault="008F1CA4">
            <w:pPr>
              <w:pStyle w:val="1"/>
            </w:pPr>
            <w:r>
              <w:t>Определение погрешности измерения перемещений пла</w:t>
            </w:r>
            <w:r>
              <w:t>т</w:t>
            </w:r>
            <w:r>
              <w:t xml:space="preserve">формы для контроля бокового увода колеса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F1CA4" w:rsidRDefault="008F1CA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6.3.5</w:t>
            </w:r>
          </w:p>
        </w:tc>
      </w:tr>
    </w:tbl>
    <w:p w:rsidR="008F1CA4" w:rsidRDefault="008F1CA4">
      <w:pPr>
        <w:rPr>
          <w:sz w:val="24"/>
          <w:szCs w:val="24"/>
        </w:rPr>
      </w:pPr>
    </w:p>
    <w:p w:rsidR="008F1CA4" w:rsidRDefault="008F1CA4">
      <w:pPr>
        <w:jc w:val="center"/>
        <w:rPr>
          <w:b/>
          <w:bCs/>
          <w:sz w:val="24"/>
          <w:szCs w:val="24"/>
        </w:rPr>
      </w:pPr>
    </w:p>
    <w:p w:rsidR="008F1CA4" w:rsidRDefault="008F1CA4">
      <w:pPr>
        <w:jc w:val="center"/>
        <w:rPr>
          <w:b/>
          <w:bCs/>
          <w:sz w:val="24"/>
          <w:szCs w:val="24"/>
        </w:rPr>
      </w:pPr>
    </w:p>
    <w:p w:rsidR="008F1CA4" w:rsidRDefault="008F1C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3.СРЕДСТВА ПОВЕРКИ</w:t>
      </w:r>
    </w:p>
    <w:p w:rsidR="008F1CA4" w:rsidRDefault="008F1CA4">
      <w:pPr>
        <w:jc w:val="center"/>
        <w:rPr>
          <w:b/>
          <w:bCs/>
          <w:sz w:val="24"/>
          <w:szCs w:val="24"/>
        </w:rPr>
      </w:pPr>
    </w:p>
    <w:p w:rsidR="008F1CA4" w:rsidRDefault="008F1CA4">
      <w:pPr>
        <w:ind w:firstLine="426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При проведении поверки необходимо применять средства, указанные в таблице 2.</w:t>
      </w:r>
    </w:p>
    <w:p w:rsidR="008F1CA4" w:rsidRDefault="008F1CA4">
      <w:pPr>
        <w:ind w:left="6480"/>
        <w:jc w:val="right"/>
        <w:rPr>
          <w:sz w:val="24"/>
          <w:szCs w:val="24"/>
        </w:rPr>
      </w:pPr>
    </w:p>
    <w:p w:rsidR="008F1CA4" w:rsidRDefault="008F1CA4">
      <w:pPr>
        <w:ind w:left="6480"/>
        <w:jc w:val="right"/>
        <w:rPr>
          <w:sz w:val="24"/>
          <w:szCs w:val="24"/>
        </w:rPr>
      </w:pPr>
    </w:p>
    <w:p w:rsidR="008F1CA4" w:rsidRDefault="008F1CA4">
      <w:pPr>
        <w:ind w:left="6480"/>
        <w:jc w:val="right"/>
        <w:rPr>
          <w:sz w:val="24"/>
          <w:szCs w:val="24"/>
        </w:rPr>
      </w:pPr>
    </w:p>
    <w:p w:rsidR="008F1CA4" w:rsidRDefault="008F1CA4">
      <w:pPr>
        <w:ind w:left="6480"/>
        <w:jc w:val="right"/>
        <w:rPr>
          <w:sz w:val="24"/>
          <w:szCs w:val="24"/>
        </w:rPr>
      </w:pPr>
    </w:p>
    <w:p w:rsidR="008F1CA4" w:rsidRDefault="008F1CA4">
      <w:pPr>
        <w:ind w:left="6480"/>
        <w:jc w:val="right"/>
        <w:rPr>
          <w:sz w:val="24"/>
          <w:szCs w:val="24"/>
        </w:rPr>
      </w:pPr>
      <w:r>
        <w:rPr>
          <w:sz w:val="24"/>
          <w:szCs w:val="24"/>
        </w:rPr>
        <w:t>Таблица 2 </w:t>
      </w:r>
    </w:p>
    <w:tbl>
      <w:tblPr>
        <w:tblW w:w="0" w:type="auto"/>
        <w:tblInd w:w="2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3"/>
        <w:gridCol w:w="2268"/>
        <w:gridCol w:w="5528"/>
      </w:tblGrid>
      <w:tr w:rsidR="008F1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A4" w:rsidRDefault="008F1CA4">
            <w:pPr>
              <w:spacing w:before="111"/>
              <w:ind w:left="11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NN</w:t>
            </w:r>
          </w:p>
          <w:p w:rsidR="008F1CA4" w:rsidRDefault="008F1CA4">
            <w:pPr>
              <w:spacing w:after="111"/>
              <w:ind w:left="11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A4" w:rsidRDefault="008F1CA4">
            <w:pPr>
              <w:spacing w:before="111" w:after="111"/>
              <w:ind w:left="330" w:right="528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Наименов</w:t>
            </w:r>
            <w:r>
              <w:rPr>
                <w:snapToGrid w:val="0"/>
                <w:sz w:val="24"/>
                <w:szCs w:val="24"/>
              </w:rPr>
              <w:t>а</w:t>
            </w:r>
            <w:r>
              <w:rPr>
                <w:snapToGrid w:val="0"/>
                <w:sz w:val="24"/>
                <w:szCs w:val="24"/>
              </w:rPr>
              <w:t>ние и тип средства п</w:t>
            </w:r>
            <w:r>
              <w:rPr>
                <w:snapToGrid w:val="0"/>
                <w:sz w:val="24"/>
                <w:szCs w:val="24"/>
              </w:rPr>
              <w:t>о</w:t>
            </w:r>
            <w:r>
              <w:rPr>
                <w:snapToGrid w:val="0"/>
                <w:sz w:val="24"/>
                <w:szCs w:val="24"/>
              </w:rPr>
              <w:t>верки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1CA4" w:rsidRDefault="008F1CA4">
            <w:pPr>
              <w:spacing w:before="111" w:after="111"/>
              <w:ind w:left="990" w:right="352" w:hanging="44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Основные технические характеристики</w:t>
            </w:r>
          </w:p>
        </w:tc>
      </w:tr>
      <w:tr w:rsidR="008F1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A4" w:rsidRDefault="008F1CA4">
            <w:pPr>
              <w:ind w:left="11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1.</w:t>
            </w:r>
          </w:p>
          <w:p w:rsidR="008F1CA4" w:rsidRDefault="008F1CA4">
            <w:pPr>
              <w:ind w:left="110"/>
              <w:rPr>
                <w:snapToGrid w:val="0"/>
                <w:sz w:val="24"/>
                <w:szCs w:val="24"/>
              </w:rPr>
            </w:pPr>
          </w:p>
          <w:p w:rsidR="008F1CA4" w:rsidRDefault="008F1CA4">
            <w:pPr>
              <w:ind w:left="11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</w:t>
            </w:r>
          </w:p>
          <w:p w:rsidR="008F1CA4" w:rsidRDefault="008F1CA4">
            <w:pPr>
              <w:ind w:left="11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3.</w:t>
            </w:r>
          </w:p>
          <w:p w:rsidR="008F1CA4" w:rsidRDefault="008F1CA4">
            <w:pPr>
              <w:ind w:left="11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4.</w:t>
            </w:r>
          </w:p>
          <w:p w:rsidR="008F1CA4" w:rsidRDefault="008F1CA4">
            <w:pPr>
              <w:ind w:left="110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A4" w:rsidRDefault="008F1CA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Гиря образцовая:</w:t>
            </w:r>
          </w:p>
          <w:p w:rsidR="008F1CA4" w:rsidRDefault="008F1CA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Гири образцовые:</w:t>
            </w:r>
          </w:p>
          <w:p w:rsidR="008F1CA4" w:rsidRDefault="008F1CA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Динамометр:</w:t>
            </w:r>
          </w:p>
          <w:p w:rsidR="008F1CA4" w:rsidRDefault="008F1CA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Штангенциркуль</w:t>
            </w:r>
          </w:p>
          <w:p w:rsidR="008F1CA4" w:rsidRDefault="008F1CA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Приспособление к</w:t>
            </w:r>
            <w:r>
              <w:rPr>
                <w:snapToGrid w:val="0"/>
                <w:sz w:val="24"/>
                <w:szCs w:val="24"/>
              </w:rPr>
              <w:t>а</w:t>
            </w:r>
            <w:r>
              <w:rPr>
                <w:snapToGrid w:val="0"/>
                <w:sz w:val="24"/>
                <w:szCs w:val="24"/>
              </w:rPr>
              <w:t>либровочное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A4" w:rsidRDefault="008F1CA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Масса 30 кг </w:t>
            </w:r>
            <w:r>
              <w:rPr>
                <w:sz w:val="24"/>
                <w:szCs w:val="24"/>
              </w:rPr>
              <w:t>ГОСТ 7328-82;</w:t>
            </w:r>
          </w:p>
          <w:p w:rsidR="008F1CA4" w:rsidRDefault="008F1CA4">
            <w:pPr>
              <w:pStyle w:val="7"/>
              <w:ind w:left="0"/>
            </w:pPr>
            <w:r>
              <w:t xml:space="preserve">Масса 500 кг </w:t>
            </w:r>
            <w:r>
              <w:sym w:font="Symbol" w:char="F0B4"/>
            </w:r>
            <w:r>
              <w:t>6, (</w:t>
            </w:r>
            <w:r>
              <w:sym w:font="Symbol" w:char="F0B4"/>
            </w:r>
            <w:r>
              <w:t>15), ГОСТ 7328-82</w:t>
            </w:r>
          </w:p>
          <w:p w:rsidR="008F1CA4" w:rsidRDefault="008F1CA4">
            <w:pPr>
              <w:pStyle w:val="7"/>
              <w:ind w:left="0"/>
            </w:pPr>
            <w:r>
              <w:t>ДОСМ-3-0,1, ГОСТ</w:t>
            </w:r>
            <w:r>
              <w:rPr>
                <w:rFonts w:ascii="Times NR Cyr MT" w:hAnsi="Times NR Cyr MT" w:cs="Times NR Cyr MT"/>
                <w:color w:val="000000"/>
              </w:rPr>
              <w:t xml:space="preserve"> 13782-68</w:t>
            </w:r>
          </w:p>
          <w:p w:rsidR="008F1CA4" w:rsidRDefault="008F1CA4">
            <w:pPr>
              <w:pStyle w:val="8"/>
            </w:pPr>
            <w:r>
              <w:t>ГОСТ 166 – 89</w:t>
            </w:r>
          </w:p>
          <w:p w:rsidR="008F1CA4" w:rsidRDefault="008F1CA4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(из комплекта поставки или аналогичное отечественн</w:t>
            </w:r>
            <w:r>
              <w:rPr>
                <w:spacing w:val="-8"/>
                <w:sz w:val="24"/>
                <w:szCs w:val="24"/>
              </w:rPr>
              <w:t>о</w:t>
            </w:r>
            <w:r>
              <w:rPr>
                <w:spacing w:val="-8"/>
                <w:sz w:val="24"/>
                <w:szCs w:val="24"/>
              </w:rPr>
              <w:t>го производства), аттестованное в установленном п</w:t>
            </w:r>
            <w:r>
              <w:rPr>
                <w:spacing w:val="-8"/>
                <w:sz w:val="24"/>
                <w:szCs w:val="24"/>
              </w:rPr>
              <w:t>о</w:t>
            </w:r>
            <w:r>
              <w:rPr>
                <w:spacing w:val="-8"/>
                <w:sz w:val="24"/>
                <w:szCs w:val="24"/>
              </w:rPr>
              <w:t>рядке.</w:t>
            </w:r>
          </w:p>
          <w:p w:rsidR="008F1CA4" w:rsidRDefault="008F1CA4"/>
        </w:tc>
      </w:tr>
    </w:tbl>
    <w:p w:rsidR="008F1CA4" w:rsidRDefault="008F1CA4">
      <w:pPr>
        <w:ind w:left="6480"/>
        <w:jc w:val="right"/>
        <w:rPr>
          <w:sz w:val="24"/>
          <w:szCs w:val="24"/>
        </w:rPr>
      </w:pPr>
    </w:p>
    <w:p w:rsidR="008F1CA4" w:rsidRDefault="008F1CA4">
      <w:pPr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Примечание.</w:t>
      </w:r>
      <w:r>
        <w:rPr>
          <w:sz w:val="24"/>
          <w:szCs w:val="24"/>
        </w:rPr>
        <w:t xml:space="preserve"> Вместо указанных в таблице средств измерений разрешается прим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нять другие с аналогичными характеристиками.</w:t>
      </w:r>
    </w:p>
    <w:p w:rsidR="008F1CA4" w:rsidRDefault="008F1CA4">
      <w:pPr>
        <w:jc w:val="center"/>
        <w:rPr>
          <w:rFonts w:ascii="Pragmatica" w:hAnsi="Pragmatica" w:cs="Pragmatica"/>
        </w:rPr>
      </w:pPr>
    </w:p>
    <w:p w:rsidR="008F1CA4" w:rsidRDefault="008F1C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УСЛОВИЯ ПОВЕРКИ</w:t>
      </w:r>
    </w:p>
    <w:p w:rsidR="008F1CA4" w:rsidRDefault="008F1CA4">
      <w:pPr>
        <w:jc w:val="center"/>
        <w:rPr>
          <w:rFonts w:ascii="Pragmatica" w:hAnsi="Pragmatica" w:cs="Pragmatica"/>
          <w:b/>
          <w:bCs/>
        </w:rPr>
      </w:pPr>
    </w:p>
    <w:p w:rsidR="008F1CA4" w:rsidRDefault="008F1CA4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поверки должны соблюдаться следующие условия:</w:t>
      </w:r>
    </w:p>
    <w:p w:rsidR="008F1CA4" w:rsidRDefault="008F1CA4">
      <w:pPr>
        <w:ind w:left="371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45"/>
        <w:gridCol w:w="3827"/>
      </w:tblGrid>
      <w:tr w:rsidR="008F1CA4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8F1CA4" w:rsidRDefault="008F1C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окружающей среды, </w:t>
            </w:r>
            <w:r>
              <w:rPr>
                <w:sz w:val="24"/>
                <w:szCs w:val="24"/>
              </w:rPr>
              <w:sym w:font="Symbol" w:char="F0B0"/>
            </w:r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3827" w:type="dxa"/>
          </w:tcPr>
          <w:p w:rsidR="008F1CA4" w:rsidRDefault="008F1C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sym w:font="Symbol" w:char="F0B1"/>
            </w:r>
            <w:r>
              <w:rPr>
                <w:sz w:val="24"/>
                <w:szCs w:val="24"/>
              </w:rPr>
              <w:t>5</w:t>
            </w:r>
          </w:p>
        </w:tc>
      </w:tr>
      <w:tr w:rsidR="008F1CA4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8F1CA4" w:rsidRDefault="008F1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Относительная влажность воздуха, %.</w:t>
            </w:r>
          </w:p>
        </w:tc>
        <w:tc>
          <w:tcPr>
            <w:tcW w:w="3827" w:type="dxa"/>
          </w:tcPr>
          <w:p w:rsidR="008F1CA4" w:rsidRDefault="008F1C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sym w:font="Symbol" w:char="F0B1"/>
            </w:r>
            <w:r>
              <w:rPr>
                <w:sz w:val="24"/>
                <w:szCs w:val="24"/>
              </w:rPr>
              <w:t>15 </w:t>
            </w:r>
          </w:p>
        </w:tc>
      </w:tr>
      <w:tr w:rsidR="008F1CA4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8F1CA4" w:rsidRDefault="008F1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Атмосферное давление, кПа</w:t>
            </w:r>
          </w:p>
        </w:tc>
        <w:tc>
          <w:tcPr>
            <w:tcW w:w="3827" w:type="dxa"/>
          </w:tcPr>
          <w:p w:rsidR="008F1CA4" w:rsidRDefault="008F1C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sym w:font="Symbol" w:char="F0B1"/>
            </w:r>
            <w:r>
              <w:rPr>
                <w:sz w:val="24"/>
                <w:szCs w:val="24"/>
              </w:rPr>
              <w:t>4 </w:t>
            </w:r>
          </w:p>
        </w:tc>
      </w:tr>
      <w:tr w:rsidR="008F1CA4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8F1CA4" w:rsidRDefault="008F1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Напряжение и частота питающей сети, В , Гц</w:t>
            </w:r>
          </w:p>
        </w:tc>
        <w:tc>
          <w:tcPr>
            <w:tcW w:w="3827" w:type="dxa"/>
          </w:tcPr>
          <w:p w:rsidR="008F1CA4" w:rsidRDefault="008F1C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>
              <w:rPr>
                <w:sz w:val="24"/>
                <w:szCs w:val="24"/>
              </w:rPr>
              <w:sym w:font="Symbol" w:char="F0B1"/>
            </w:r>
            <w:r>
              <w:rPr>
                <w:sz w:val="24"/>
                <w:szCs w:val="24"/>
              </w:rPr>
              <w:t>22, 50</w:t>
            </w:r>
            <w:r>
              <w:rPr>
                <w:sz w:val="24"/>
                <w:szCs w:val="24"/>
              </w:rPr>
              <w:sym w:font="Symbol" w:char="F0B1"/>
            </w:r>
            <w:r>
              <w:rPr>
                <w:sz w:val="24"/>
                <w:szCs w:val="24"/>
              </w:rPr>
              <w:t>0,5 </w:t>
            </w:r>
          </w:p>
        </w:tc>
      </w:tr>
    </w:tbl>
    <w:p w:rsidR="008F1CA4" w:rsidRDefault="008F1CA4">
      <w:pPr>
        <w:jc w:val="center"/>
        <w:rPr>
          <w:b/>
          <w:bCs/>
          <w:sz w:val="24"/>
          <w:szCs w:val="24"/>
        </w:rPr>
      </w:pPr>
    </w:p>
    <w:p w:rsidR="008F1CA4" w:rsidRDefault="008F1C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ТРЕБОВАНИЯ БЕЗОПАСНОСТИ.</w:t>
      </w:r>
    </w:p>
    <w:p w:rsidR="008F1CA4" w:rsidRDefault="008F1CA4">
      <w:pPr>
        <w:spacing w:line="240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5.1. Перед проведением поверки следует изучить техническое описание и инстру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цию по эксплуатации на поверяемый комплекс и приборы, применяемые при поверке.</w:t>
      </w:r>
    </w:p>
    <w:p w:rsidR="008F1CA4" w:rsidRDefault="008F1CA4">
      <w:pPr>
        <w:spacing w:line="240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5.2. К поверке допускаются лица, прошедшие инструктаж по технике безопасности при работе на электроустановках.</w:t>
      </w:r>
    </w:p>
    <w:p w:rsidR="008F1CA4" w:rsidRDefault="008F1CA4">
      <w:pPr>
        <w:tabs>
          <w:tab w:val="left" w:pos="3670"/>
          <w:tab w:val="left" w:pos="5230"/>
          <w:tab w:val="left" w:pos="7030"/>
        </w:tabs>
        <w:ind w:right="51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   5.3.</w:t>
      </w:r>
      <w:r>
        <w:rPr>
          <w:snapToGrid w:val="0"/>
          <w:sz w:val="24"/>
          <w:szCs w:val="24"/>
        </w:rPr>
        <w:t xml:space="preserve"> Перед проведением  поверки  должны быть  выполнены следующие работы:</w:t>
      </w:r>
    </w:p>
    <w:p w:rsidR="008F1CA4" w:rsidRDefault="008F1CA4">
      <w:pPr>
        <w:ind w:right="51" w:firstLine="11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все детали стенда и средств метрологической аттестации должны быть очищены от пыли и грязи;</w:t>
      </w:r>
    </w:p>
    <w:p w:rsidR="008F1CA4" w:rsidRDefault="008F1CA4">
      <w:pPr>
        <w:ind w:left="108" w:right="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стенды должны быть заземлены. </w:t>
      </w:r>
    </w:p>
    <w:p w:rsidR="008F1CA4" w:rsidRDefault="008F1CA4">
      <w:pPr>
        <w:spacing w:line="240" w:lineRule="exact"/>
        <w:ind w:left="426"/>
        <w:jc w:val="both"/>
        <w:rPr>
          <w:sz w:val="24"/>
          <w:szCs w:val="24"/>
        </w:rPr>
      </w:pPr>
    </w:p>
    <w:p w:rsidR="008F1CA4" w:rsidRDefault="008F1CA4">
      <w:pPr>
        <w:rPr>
          <w:sz w:val="24"/>
          <w:szCs w:val="24"/>
        </w:rPr>
      </w:pPr>
    </w:p>
    <w:p w:rsidR="008F1CA4" w:rsidRDefault="008F1C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ПОРЯДОК ПРОВЕДЕНИЯ ПОВЕРКИ</w:t>
      </w:r>
    </w:p>
    <w:p w:rsidR="008F1CA4" w:rsidRDefault="008F1C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Внешний осмотр</w:t>
      </w:r>
    </w:p>
    <w:p w:rsidR="008F1CA4" w:rsidRDefault="008F1CA4">
      <w:pPr>
        <w:spacing w:line="240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 внешнем осмотре должно быть установлено:</w:t>
      </w:r>
    </w:p>
    <w:p w:rsidR="008F1CA4" w:rsidRDefault="008F1CA4">
      <w:pPr>
        <w:numPr>
          <w:ilvl w:val="0"/>
          <w:numId w:val="1"/>
        </w:numPr>
        <w:spacing w:line="24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наличие свидетельства о поверке;</w:t>
      </w:r>
    </w:p>
    <w:p w:rsidR="008F1CA4" w:rsidRDefault="008F1CA4">
      <w:pPr>
        <w:numPr>
          <w:ilvl w:val="0"/>
          <w:numId w:val="1"/>
        </w:numPr>
        <w:spacing w:line="24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наличие маркировки (наименование или товарный знак фирмы-изготовителя, </w:t>
      </w:r>
      <w:r>
        <w:rPr>
          <w:sz w:val="24"/>
          <w:szCs w:val="24"/>
        </w:rPr>
        <w:lastRenderedPageBreak/>
        <w:t>тип и заводской номер прибора);</w:t>
      </w:r>
    </w:p>
    <w:p w:rsidR="008F1CA4" w:rsidRDefault="008F1CA4">
      <w:pPr>
        <w:numPr>
          <w:ilvl w:val="0"/>
          <w:numId w:val="1"/>
        </w:numPr>
        <w:spacing w:line="24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отсутствие механических повреждений корпусов приборов, соединительных проводов, сигнальных ламп и индикаторов, а также других повреждений, влия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 на работу комплекса;</w:t>
      </w:r>
    </w:p>
    <w:p w:rsidR="008F1CA4" w:rsidRDefault="008F1CA4">
      <w:pPr>
        <w:numPr>
          <w:ilvl w:val="0"/>
          <w:numId w:val="1"/>
        </w:numPr>
        <w:spacing w:line="24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наличие четких надписей и отметок на органах управления.</w:t>
      </w:r>
    </w:p>
    <w:p w:rsidR="008F1CA4" w:rsidRDefault="008F1CA4">
      <w:pPr>
        <w:spacing w:line="240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Комплектность комплекса должна соответствовать разделу “Комплект поставки” его паспорта (или другой эксплуатационный документ).</w:t>
      </w:r>
    </w:p>
    <w:p w:rsidR="008F1CA4" w:rsidRDefault="008F1CA4">
      <w:pPr>
        <w:ind w:firstLine="426"/>
        <w:jc w:val="both"/>
        <w:rPr>
          <w:sz w:val="24"/>
          <w:szCs w:val="24"/>
        </w:rPr>
      </w:pPr>
    </w:p>
    <w:p w:rsidR="008F1CA4" w:rsidRDefault="008F1C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Опробование.</w:t>
      </w:r>
    </w:p>
    <w:p w:rsidR="008F1CA4" w:rsidRDefault="008F1CA4">
      <w:pPr>
        <w:spacing w:line="240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Проверку функционирования комплекса производить визуально путём включения ее согласно эксплуатационному  документу в следующей последовательности:</w:t>
      </w:r>
    </w:p>
    <w:p w:rsidR="008F1CA4" w:rsidRDefault="008F1CA4">
      <w:pPr>
        <w:numPr>
          <w:ilvl w:val="0"/>
          <w:numId w:val="5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включить комплекс;</w:t>
      </w:r>
    </w:p>
    <w:p w:rsidR="008F1CA4" w:rsidRDefault="008F1CA4">
      <w:pPr>
        <w:numPr>
          <w:ilvl w:val="0"/>
          <w:numId w:val="5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выбрать одну из тестовых программ для проверки автомобиля;</w:t>
      </w:r>
    </w:p>
    <w:p w:rsidR="008F1CA4" w:rsidRDefault="008F1CA4">
      <w:pPr>
        <w:numPr>
          <w:ilvl w:val="0"/>
          <w:numId w:val="5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установить по запросу программы переднюю ось автомобиля на блоки роликов  тормозного стенда;</w:t>
      </w:r>
    </w:p>
    <w:p w:rsidR="008F1CA4" w:rsidRDefault="008F1CA4">
      <w:pPr>
        <w:numPr>
          <w:ilvl w:val="0"/>
          <w:numId w:val="5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следуя алгоритму проверки автомобиля на стенде, установить работоспосо</w:t>
      </w:r>
      <w:r>
        <w:rPr>
          <w:snapToGrid w:val="0"/>
          <w:sz w:val="24"/>
          <w:szCs w:val="24"/>
        </w:rPr>
        <w:t>б</w:t>
      </w:r>
      <w:r>
        <w:rPr>
          <w:snapToGrid w:val="0"/>
          <w:sz w:val="24"/>
          <w:szCs w:val="24"/>
        </w:rPr>
        <w:t>ность тензодатчиков силоизмерительных устройств для контроля тормозных систем левого и правого блоков роликов стенда;</w:t>
      </w:r>
    </w:p>
    <w:p w:rsidR="008F1CA4" w:rsidRDefault="008F1CA4">
      <w:pPr>
        <w:numPr>
          <w:ilvl w:val="0"/>
          <w:numId w:val="5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установить по запросу программы переднюю ось автомобиля на платформы проверки амортизаторов и </w:t>
      </w:r>
      <w:r>
        <w:rPr>
          <w:sz w:val="24"/>
          <w:szCs w:val="24"/>
        </w:rPr>
        <w:t>измерений статической нагрузки на ось автомобиля;</w:t>
      </w:r>
    </w:p>
    <w:p w:rsidR="008F1CA4" w:rsidRDefault="008F1CA4">
      <w:pPr>
        <w:numPr>
          <w:ilvl w:val="0"/>
          <w:numId w:val="5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следуя алгоритму проверки автомобиля комплексом измерительным, установить работоспособность тензодатчиков силоизмерительных устройств для контроля </w:t>
      </w:r>
      <w:r>
        <w:rPr>
          <w:sz w:val="24"/>
          <w:szCs w:val="24"/>
        </w:rPr>
        <w:t>статической нагрузки на ось автомобиля</w:t>
      </w:r>
      <w:r>
        <w:rPr>
          <w:snapToGrid w:val="0"/>
          <w:sz w:val="24"/>
          <w:szCs w:val="24"/>
        </w:rPr>
        <w:t xml:space="preserve"> левой и правой измерительных пла</w:t>
      </w:r>
      <w:r>
        <w:rPr>
          <w:snapToGrid w:val="0"/>
          <w:sz w:val="24"/>
          <w:szCs w:val="24"/>
        </w:rPr>
        <w:t>т</w:t>
      </w:r>
      <w:r>
        <w:rPr>
          <w:snapToGrid w:val="0"/>
          <w:sz w:val="24"/>
          <w:szCs w:val="24"/>
        </w:rPr>
        <w:t>форм амортизационного стенда;</w:t>
      </w:r>
    </w:p>
    <w:p w:rsidR="008F1CA4" w:rsidRDefault="008F1CA4">
      <w:pPr>
        <w:numPr>
          <w:ilvl w:val="0"/>
          <w:numId w:val="5"/>
        </w:numPr>
        <w:rPr>
          <w:sz w:val="24"/>
          <w:szCs w:val="24"/>
        </w:rPr>
      </w:pPr>
      <w:r>
        <w:rPr>
          <w:snapToGrid w:val="0"/>
          <w:sz w:val="24"/>
          <w:szCs w:val="24"/>
        </w:rPr>
        <w:t>установить по запросу программы переднюю ось автомобиля на некотором ра</w:t>
      </w:r>
      <w:r>
        <w:rPr>
          <w:snapToGrid w:val="0"/>
          <w:sz w:val="24"/>
          <w:szCs w:val="24"/>
        </w:rPr>
        <w:t>с</w:t>
      </w:r>
      <w:r>
        <w:rPr>
          <w:snapToGrid w:val="0"/>
          <w:sz w:val="24"/>
          <w:szCs w:val="24"/>
        </w:rPr>
        <w:t xml:space="preserve">стоянии от </w:t>
      </w:r>
      <w:r>
        <w:rPr>
          <w:sz w:val="24"/>
          <w:szCs w:val="24"/>
        </w:rPr>
        <w:t>устройства для определения бокового увода автомобиля:</w:t>
      </w:r>
    </w:p>
    <w:p w:rsidR="008F1CA4" w:rsidRDefault="008F1CA4">
      <w:pPr>
        <w:numPr>
          <w:ilvl w:val="0"/>
          <w:numId w:val="5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следуя алгоритму проверки автомобиля комплексом измерительным, установить работоспособность </w:t>
      </w:r>
      <w:r>
        <w:rPr>
          <w:sz w:val="24"/>
          <w:szCs w:val="24"/>
        </w:rPr>
        <w:t>преобразователя перемещений устройства для определения бокового увода автомобиля. Для этого со скоростью 5-15 км/ч необходимо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ехать по устройству.</w:t>
      </w:r>
    </w:p>
    <w:p w:rsidR="008F1CA4" w:rsidRDefault="008F1CA4">
      <w:pPr>
        <w:pStyle w:val="a8"/>
      </w:pPr>
      <w:r>
        <w:t>В ходе выполнения теста на экране приборной стойки должны появиться показания в</w:t>
      </w:r>
      <w:r>
        <w:t>е</w:t>
      </w:r>
      <w:r>
        <w:t>личины бокового увода автомобиля, показания величины статической нагрузки на ось автомобиля, а затем диаграмма и цифровые данные тормозных сил, развиваемых левым и правым колесами автомобиля.</w:t>
      </w:r>
    </w:p>
    <w:p w:rsidR="008F1CA4" w:rsidRDefault="008F1CA4">
      <w:pPr>
        <w:spacing w:line="240" w:lineRule="exact"/>
        <w:ind w:firstLine="36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Функции комплекса должны соответствовать технической документации на него.</w:t>
      </w:r>
    </w:p>
    <w:p w:rsidR="008F1CA4" w:rsidRDefault="008F1CA4">
      <w:pPr>
        <w:ind w:firstLine="601"/>
        <w:jc w:val="both"/>
        <w:rPr>
          <w:sz w:val="24"/>
          <w:szCs w:val="24"/>
        </w:rPr>
      </w:pPr>
    </w:p>
    <w:p w:rsidR="008F1CA4" w:rsidRDefault="008F1C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6.3. Определение метрологических характеристик комплекса.</w:t>
      </w:r>
    </w:p>
    <w:p w:rsidR="008F1CA4" w:rsidRDefault="008F1CA4">
      <w:pPr>
        <w:ind w:firstLine="426"/>
        <w:jc w:val="both"/>
        <w:rPr>
          <w:snapToGrid w:val="0"/>
          <w:sz w:val="24"/>
          <w:szCs w:val="24"/>
        </w:rPr>
      </w:pPr>
      <w:r>
        <w:rPr>
          <w:spacing w:val="-6"/>
          <w:sz w:val="24"/>
          <w:szCs w:val="24"/>
        </w:rPr>
        <w:t>6.3.1. Погрешность измерений тормозной силы комплекса</w:t>
      </w:r>
      <w:r>
        <w:rPr>
          <w:snapToGrid w:val="0"/>
          <w:sz w:val="24"/>
          <w:szCs w:val="24"/>
        </w:rPr>
        <w:t xml:space="preserve"> проводится в следующей последовательности:</w:t>
      </w:r>
    </w:p>
    <w:p w:rsidR="008F1CA4" w:rsidRDefault="008F1CA4">
      <w:pPr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включить комплекс;</w:t>
      </w:r>
    </w:p>
    <w:p w:rsidR="008F1CA4" w:rsidRDefault="008F1CA4">
      <w:pPr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установить устройство калибровочное на левый блок роликов согласно разделу «Калибровка» РЭ;</w:t>
      </w:r>
    </w:p>
    <w:p w:rsidR="008F1CA4" w:rsidRDefault="008F1CA4">
      <w:pPr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вызвать тестовую программу проверки тормозных силоизмерительных датч</w:t>
      </w:r>
      <w:r>
        <w:rPr>
          <w:snapToGrid w:val="0"/>
          <w:sz w:val="24"/>
          <w:szCs w:val="24"/>
        </w:rPr>
        <w:t>и</w:t>
      </w:r>
      <w:r>
        <w:rPr>
          <w:snapToGrid w:val="0"/>
          <w:sz w:val="24"/>
          <w:szCs w:val="24"/>
        </w:rPr>
        <w:t>ков;</w:t>
      </w:r>
    </w:p>
    <w:p w:rsidR="008F1CA4" w:rsidRDefault="008F1CA4">
      <w:pPr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Внимание!</w:t>
      </w:r>
      <w:r>
        <w:rPr>
          <w:snapToGrid w:val="0"/>
          <w:sz w:val="24"/>
          <w:szCs w:val="24"/>
        </w:rPr>
        <w:t xml:space="preserve"> Вход в режим калибровки, как и пароль доступа в этот режим, может изм</w:t>
      </w:r>
      <w:r>
        <w:rPr>
          <w:snapToGrid w:val="0"/>
          <w:sz w:val="24"/>
          <w:szCs w:val="24"/>
        </w:rPr>
        <w:t>е</w:t>
      </w:r>
      <w:r>
        <w:rPr>
          <w:snapToGrid w:val="0"/>
          <w:sz w:val="24"/>
          <w:szCs w:val="24"/>
        </w:rPr>
        <w:t>няться для каждого образца стенда и должен быть получен у представителей фирмы-изготовителя.</w:t>
      </w:r>
    </w:p>
    <w:p w:rsidR="008F1CA4" w:rsidRDefault="008F1CA4">
      <w:pPr>
        <w:numPr>
          <w:ilvl w:val="0"/>
          <w:numId w:val="8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далее, следуя алгоритму программы калибровки, произвести поверку левого и правого силоизмерительного устройства:</w:t>
      </w:r>
    </w:p>
    <w:p w:rsidR="008F1CA4" w:rsidRDefault="008F1CA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Погрешность измерений тормозной силы стенда определяется с помощью</w:t>
      </w:r>
      <w:r>
        <w:rPr>
          <w:snapToGrid w:val="0"/>
          <w:sz w:val="24"/>
          <w:szCs w:val="24"/>
        </w:rPr>
        <w:t xml:space="preserve"> устро</w:t>
      </w:r>
      <w:r>
        <w:rPr>
          <w:snapToGrid w:val="0"/>
          <w:sz w:val="24"/>
          <w:szCs w:val="24"/>
        </w:rPr>
        <w:t>й</w:t>
      </w:r>
      <w:r>
        <w:rPr>
          <w:snapToGrid w:val="0"/>
          <w:sz w:val="24"/>
          <w:szCs w:val="24"/>
        </w:rPr>
        <w:lastRenderedPageBreak/>
        <w:t>ства калибровочного</w:t>
      </w:r>
      <w:r>
        <w:rPr>
          <w:sz w:val="24"/>
          <w:szCs w:val="24"/>
        </w:rPr>
        <w:t>, которое последовательно устанавливается на левой и правой платформах и гири массой 30 кг. Усилия задаются путем перемещения гири по рычагу устройства калибровочного, на верхней плоскости которого имеется специально отк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либрованная рейка. Величина усилия и количество поверяемых точек указаны на рейке.</w:t>
      </w:r>
    </w:p>
    <w:p w:rsidR="008F1CA4" w:rsidRDefault="008F1CA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napToGrid w:val="0"/>
          <w:sz w:val="24"/>
          <w:szCs w:val="24"/>
        </w:rPr>
        <w:t>стройства калибровочные</w:t>
      </w:r>
      <w:r>
        <w:rPr>
          <w:sz w:val="24"/>
          <w:szCs w:val="24"/>
        </w:rPr>
        <w:t xml:space="preserve"> для легковой и грузовой модификаций стендов имеют различное конструктивное исполнение</w:t>
      </w:r>
      <w:r>
        <w:rPr>
          <w:snapToGrid w:val="0"/>
          <w:sz w:val="24"/>
          <w:szCs w:val="24"/>
        </w:rPr>
        <w:t xml:space="preserve">. </w:t>
      </w:r>
      <w:r>
        <w:rPr>
          <w:sz w:val="24"/>
          <w:szCs w:val="24"/>
        </w:rPr>
        <w:t>Гиря массой 30 кг применяется для поверки обеих модификаций стендов.</w:t>
      </w:r>
    </w:p>
    <w:p w:rsidR="008F1CA4" w:rsidRDefault="008F1CA4">
      <w:pPr>
        <w:numPr>
          <w:ilvl w:val="0"/>
          <w:numId w:val="10"/>
        </w:numPr>
        <w:tabs>
          <w:tab w:val="left" w:pos="9923"/>
        </w:tabs>
        <w:ind w:left="0" w:right="51" w:firstLine="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относительная погрешность измерений определяется по формуле:</w:t>
      </w:r>
    </w:p>
    <w:p w:rsidR="008F1CA4" w:rsidRDefault="000F5819">
      <w:pPr>
        <w:tabs>
          <w:tab w:val="left" w:pos="9923"/>
        </w:tabs>
        <w:ind w:right="51"/>
        <w:jc w:val="center"/>
        <w:rPr>
          <w:snapToGrid w:val="0"/>
          <w:sz w:val="24"/>
          <w:szCs w:val="24"/>
        </w:rPr>
      </w:pPr>
      <w:r>
        <w:rPr>
          <w:snapToGrid w:val="0"/>
          <w:position w:val="-32"/>
          <w:sz w:val="24"/>
          <w:szCs w:val="24"/>
        </w:rPr>
        <w:object w:dxaOrig="2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36pt" o:ole="">
            <v:imagedata r:id="rId7" o:title=""/>
          </v:shape>
          <o:OLEObject Type="Embed" ProgID="Equation.3" ShapeID="_x0000_i1025" DrawAspect="Content" ObjectID="_1686049653" r:id="rId8"/>
        </w:object>
      </w:r>
    </w:p>
    <w:p w:rsidR="008F1CA4" w:rsidRDefault="008F1CA4">
      <w:pPr>
        <w:tabs>
          <w:tab w:val="left" w:pos="8931"/>
        </w:tabs>
        <w:ind w:left="442" w:right="51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F</w:t>
      </w:r>
      <w:r>
        <w:rPr>
          <w:snapToGrid w:val="0"/>
          <w:sz w:val="24"/>
          <w:szCs w:val="24"/>
          <w:vertAlign w:val="subscript"/>
        </w:rPr>
        <w:t>изм</w:t>
      </w:r>
      <w:r>
        <w:rPr>
          <w:snapToGrid w:val="0"/>
          <w:sz w:val="24"/>
          <w:szCs w:val="24"/>
        </w:rPr>
        <w:t xml:space="preserve"> - показания тормозной силы на экране приборной стойки, Н;</w:t>
      </w:r>
    </w:p>
    <w:p w:rsidR="008F1CA4" w:rsidRDefault="008F1CA4">
      <w:pPr>
        <w:tabs>
          <w:tab w:val="left" w:pos="8931"/>
        </w:tabs>
        <w:ind w:left="442" w:right="51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lang w:val="en-US"/>
        </w:rPr>
        <w:t>F</w:t>
      </w:r>
      <w:r>
        <w:rPr>
          <w:snapToGrid w:val="0"/>
          <w:sz w:val="24"/>
          <w:szCs w:val="24"/>
          <w:vertAlign w:val="subscript"/>
        </w:rPr>
        <w:t xml:space="preserve">действ </w:t>
      </w:r>
      <w:r>
        <w:rPr>
          <w:snapToGrid w:val="0"/>
          <w:sz w:val="24"/>
          <w:szCs w:val="24"/>
        </w:rPr>
        <w:t xml:space="preserve">-значения для легковой и грузовой модификаций стендов указаны на шкалах </w:t>
      </w:r>
      <w:r>
        <w:rPr>
          <w:sz w:val="24"/>
          <w:szCs w:val="24"/>
        </w:rPr>
        <w:t>приспособлений калибровочных</w:t>
      </w:r>
      <w:r>
        <w:rPr>
          <w:snapToGrid w:val="0"/>
          <w:sz w:val="24"/>
          <w:szCs w:val="24"/>
        </w:rPr>
        <w:t>.</w:t>
      </w:r>
    </w:p>
    <w:p w:rsidR="008F1CA4" w:rsidRDefault="008F1CA4">
      <w:pPr>
        <w:ind w:firstLine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Относительная погрешность измерений тормозной силы для каждого силои</w:t>
      </w:r>
      <w:r>
        <w:rPr>
          <w:b/>
          <w:bCs/>
          <w:i/>
          <w:iCs/>
          <w:sz w:val="24"/>
          <w:szCs w:val="24"/>
        </w:rPr>
        <w:t>з</w:t>
      </w:r>
      <w:r>
        <w:rPr>
          <w:b/>
          <w:bCs/>
          <w:i/>
          <w:iCs/>
          <w:sz w:val="24"/>
          <w:szCs w:val="24"/>
        </w:rPr>
        <w:t xml:space="preserve">мерительного устройства не должна превышать </w:t>
      </w:r>
      <w:r>
        <w:rPr>
          <w:b/>
          <w:bCs/>
          <w:i/>
          <w:iCs/>
          <w:sz w:val="24"/>
          <w:szCs w:val="24"/>
        </w:rPr>
        <w:sym w:font="Symbol" w:char="F0B1"/>
      </w:r>
      <w:r>
        <w:rPr>
          <w:b/>
          <w:bCs/>
          <w:i/>
          <w:iCs/>
          <w:sz w:val="24"/>
          <w:szCs w:val="24"/>
        </w:rPr>
        <w:t>3%. </w:t>
      </w:r>
    </w:p>
    <w:p w:rsidR="008F1CA4" w:rsidRDefault="008F1CA4">
      <w:pPr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6.3.2. </w:t>
      </w:r>
      <w:r>
        <w:rPr>
          <w:snapToGrid w:val="0"/>
          <w:sz w:val="24"/>
          <w:szCs w:val="24"/>
        </w:rPr>
        <w:t>Определение погрешности измерения силы, создаваемой на педали тормоза, пр</w:t>
      </w:r>
      <w:r>
        <w:rPr>
          <w:snapToGrid w:val="0"/>
          <w:sz w:val="24"/>
          <w:szCs w:val="24"/>
        </w:rPr>
        <w:t>о</w:t>
      </w:r>
      <w:r>
        <w:rPr>
          <w:snapToGrid w:val="0"/>
          <w:sz w:val="24"/>
          <w:szCs w:val="24"/>
        </w:rPr>
        <w:t>водится в следующей последовательности:</w:t>
      </w:r>
    </w:p>
    <w:p w:rsidR="008F1CA4" w:rsidRDefault="008F1CA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установить силоизмерительное устройство стенда в устройство калибровочное с д</w:t>
      </w:r>
      <w:r>
        <w:rPr>
          <w:snapToGrid w:val="0"/>
          <w:sz w:val="24"/>
          <w:szCs w:val="24"/>
        </w:rPr>
        <w:t>и</w:t>
      </w:r>
      <w:r>
        <w:rPr>
          <w:snapToGrid w:val="0"/>
          <w:sz w:val="24"/>
          <w:szCs w:val="24"/>
        </w:rPr>
        <w:t>намометром;</w:t>
      </w:r>
    </w:p>
    <w:p w:rsidR="008F1CA4" w:rsidRDefault="008F1CA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перевести комплекс в тестовый режим измерения усилий на педали тормоза. Показ</w:t>
      </w:r>
      <w:r>
        <w:rPr>
          <w:snapToGrid w:val="0"/>
          <w:sz w:val="24"/>
          <w:szCs w:val="24"/>
        </w:rPr>
        <w:t>а</w:t>
      </w:r>
      <w:r>
        <w:rPr>
          <w:snapToGrid w:val="0"/>
          <w:sz w:val="24"/>
          <w:szCs w:val="24"/>
        </w:rPr>
        <w:t>ние на экране приборной стойки на холостом ходу должно быть равно 0,000 Н;</w:t>
      </w:r>
    </w:p>
    <w:p w:rsidR="008F1CA4" w:rsidRDefault="008F1CA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вращая рукоятку поверочной платформы, последовательно задавать на датчик сил</w:t>
      </w:r>
      <w:r>
        <w:rPr>
          <w:snapToGrid w:val="0"/>
          <w:sz w:val="24"/>
          <w:szCs w:val="24"/>
        </w:rPr>
        <w:t>о</w:t>
      </w:r>
      <w:r>
        <w:rPr>
          <w:snapToGrid w:val="0"/>
          <w:sz w:val="24"/>
          <w:szCs w:val="24"/>
        </w:rPr>
        <w:t>измерительного устройства силу в 200, 400, 600, 800, 1000 Н, одновременно считывая показания с экрана приборной стойки в каждой точке;</w:t>
      </w:r>
    </w:p>
    <w:p w:rsidR="008F1CA4" w:rsidRDefault="008F1CA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napToGrid w:val="0"/>
          <w:sz w:val="24"/>
          <w:szCs w:val="24"/>
        </w:rPr>
        <w:t>относительн</w:t>
      </w:r>
      <w:r>
        <w:rPr>
          <w:sz w:val="24"/>
          <w:szCs w:val="24"/>
        </w:rPr>
        <w:t>ая</w:t>
      </w:r>
      <w:r>
        <w:rPr>
          <w:snapToGrid w:val="0"/>
          <w:sz w:val="24"/>
          <w:szCs w:val="24"/>
        </w:rPr>
        <w:t xml:space="preserve"> погрешност</w:t>
      </w:r>
      <w:r>
        <w:rPr>
          <w:sz w:val="24"/>
          <w:szCs w:val="24"/>
        </w:rPr>
        <w:t xml:space="preserve">ь измерений </w:t>
      </w:r>
      <w:r>
        <w:rPr>
          <w:snapToGrid w:val="0"/>
          <w:sz w:val="24"/>
          <w:szCs w:val="24"/>
        </w:rPr>
        <w:t>силы, создаваемой на педали тормоза</w:t>
      </w:r>
      <w:r>
        <w:rPr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>опред</w:t>
      </w:r>
      <w:r>
        <w:rPr>
          <w:snapToGrid w:val="0"/>
          <w:sz w:val="24"/>
          <w:szCs w:val="24"/>
        </w:rPr>
        <w:t>е</w:t>
      </w:r>
      <w:r>
        <w:rPr>
          <w:snapToGrid w:val="0"/>
          <w:sz w:val="24"/>
          <w:szCs w:val="24"/>
        </w:rPr>
        <w:t>ляется по формуле:</w:t>
      </w:r>
    </w:p>
    <w:p w:rsidR="008F1CA4" w:rsidRDefault="000F5819">
      <w:pPr>
        <w:jc w:val="center"/>
        <w:rPr>
          <w:snapToGrid w:val="0"/>
          <w:sz w:val="24"/>
          <w:szCs w:val="24"/>
        </w:rPr>
      </w:pPr>
      <w:r>
        <w:rPr>
          <w:snapToGrid w:val="0"/>
          <w:position w:val="-32"/>
          <w:sz w:val="24"/>
          <w:szCs w:val="24"/>
        </w:rPr>
        <w:object w:dxaOrig="2280" w:dyaOrig="720">
          <v:shape id="_x0000_i1026" type="#_x0000_t75" style="width:114pt;height:36pt" o:ole="">
            <v:imagedata r:id="rId9" o:title=""/>
          </v:shape>
          <o:OLEObject Type="Embed" ProgID="Equation.3" ShapeID="_x0000_i1026" DrawAspect="Content" ObjectID="_1686049654" r:id="rId10"/>
        </w:object>
      </w:r>
    </w:p>
    <w:p w:rsidR="008F1CA4" w:rsidRDefault="008F1CA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где:</w:t>
      </w:r>
      <w:r>
        <w:rPr>
          <w:snapToGrid w:val="0"/>
          <w:sz w:val="24"/>
          <w:szCs w:val="24"/>
        </w:rPr>
        <w:tab/>
        <w:t>-</w:t>
      </w:r>
      <w:r>
        <w:rPr>
          <w:snapToGrid w:val="0"/>
          <w:sz w:val="24"/>
          <w:szCs w:val="24"/>
          <w:lang w:val="en-US"/>
        </w:rPr>
        <w:t>P</w:t>
      </w:r>
      <w:r>
        <w:rPr>
          <w:snapToGrid w:val="0"/>
          <w:sz w:val="24"/>
          <w:szCs w:val="24"/>
          <w:vertAlign w:val="subscript"/>
        </w:rPr>
        <w:t xml:space="preserve">изм </w:t>
      </w:r>
      <w:r>
        <w:rPr>
          <w:snapToGrid w:val="0"/>
          <w:sz w:val="24"/>
          <w:szCs w:val="24"/>
        </w:rPr>
        <w:t>– показания на экране приборной стойки стенда;</w:t>
      </w:r>
    </w:p>
    <w:p w:rsidR="008F1CA4" w:rsidRDefault="008F1CA4">
      <w:pPr>
        <w:ind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-Р</w:t>
      </w:r>
      <w:r>
        <w:rPr>
          <w:snapToGrid w:val="0"/>
          <w:sz w:val="24"/>
          <w:szCs w:val="24"/>
          <w:vertAlign w:val="subscript"/>
        </w:rPr>
        <w:t>действ</w:t>
      </w:r>
      <w:r>
        <w:rPr>
          <w:snapToGrid w:val="0"/>
          <w:sz w:val="24"/>
          <w:szCs w:val="24"/>
        </w:rPr>
        <w:t xml:space="preserve"> – сила, приложенная к датчику с помощью динамометра.</w:t>
      </w:r>
    </w:p>
    <w:p w:rsidR="008F1CA4" w:rsidRDefault="008F1CA4">
      <w:pPr>
        <w:rPr>
          <w:b/>
          <w:bCs/>
          <w:i/>
          <w:iCs/>
          <w:snapToGrid w:val="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</w:t>
      </w:r>
      <w:r>
        <w:rPr>
          <w:b/>
          <w:bCs/>
          <w:i/>
          <w:iCs/>
          <w:snapToGrid w:val="0"/>
          <w:sz w:val="24"/>
          <w:szCs w:val="24"/>
        </w:rPr>
        <w:t>тносительн</w:t>
      </w:r>
      <w:r>
        <w:rPr>
          <w:b/>
          <w:bCs/>
          <w:i/>
          <w:iCs/>
          <w:sz w:val="24"/>
          <w:szCs w:val="24"/>
        </w:rPr>
        <w:t>ая</w:t>
      </w:r>
      <w:r>
        <w:rPr>
          <w:b/>
          <w:bCs/>
          <w:i/>
          <w:iCs/>
          <w:snapToGrid w:val="0"/>
          <w:sz w:val="24"/>
          <w:szCs w:val="24"/>
        </w:rPr>
        <w:t xml:space="preserve"> погрешност</w:t>
      </w:r>
      <w:r>
        <w:rPr>
          <w:b/>
          <w:bCs/>
          <w:i/>
          <w:iCs/>
          <w:sz w:val="24"/>
          <w:szCs w:val="24"/>
        </w:rPr>
        <w:t xml:space="preserve">ь измерений </w:t>
      </w:r>
      <w:r>
        <w:rPr>
          <w:b/>
          <w:bCs/>
          <w:i/>
          <w:iCs/>
          <w:snapToGrid w:val="0"/>
          <w:sz w:val="24"/>
          <w:szCs w:val="24"/>
        </w:rPr>
        <w:t>силы, создаваемой на педали тормоза</w:t>
      </w:r>
      <w:r>
        <w:rPr>
          <w:b/>
          <w:bCs/>
          <w:i/>
          <w:iCs/>
          <w:sz w:val="24"/>
          <w:szCs w:val="24"/>
        </w:rPr>
        <w:t>, не должна превышать 5%.</w:t>
      </w:r>
    </w:p>
    <w:p w:rsidR="008F1CA4" w:rsidRDefault="008F1CA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6.3.3. Определение погрешности измерения статической нагрузки на ось автомоб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ля проводится следующим образом:</w:t>
      </w:r>
    </w:p>
    <w:p w:rsidR="008F1CA4" w:rsidRDefault="008F1CA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перевести комплекс в режим измерения статической нагрузки на ось автомоб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ля. Показания на экране монитора приборной стойки без нагрузки должны быть равны 0,000 кН;</w:t>
      </w:r>
    </w:p>
    <w:p w:rsidR="008F1CA4" w:rsidRDefault="008F1CA4">
      <w:pPr>
        <w:numPr>
          <w:ilvl w:val="0"/>
          <w:numId w:val="8"/>
        </w:num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последовательно размещая на левой поверяемой платформе образцовые грузы массой  500, 1000, 1500, 2000 кг- для</w:t>
      </w:r>
      <w:r>
        <w:rPr>
          <w:color w:val="000000"/>
          <w:spacing w:val="-6"/>
          <w:sz w:val="24"/>
          <w:szCs w:val="24"/>
        </w:rPr>
        <w:t xml:space="preserve"> легкового варианта комплекса</w:t>
      </w:r>
      <w:r>
        <w:rPr>
          <w:spacing w:val="-6"/>
          <w:sz w:val="24"/>
          <w:szCs w:val="24"/>
        </w:rPr>
        <w:t xml:space="preserve"> (2000, 4000, 6000, 8000 кг для грузового варианта), снимать показания на экране монитора приборной стойки.</w:t>
      </w:r>
    </w:p>
    <w:p w:rsidR="008F1CA4" w:rsidRDefault="008F1CA4">
      <w:pPr>
        <w:numPr>
          <w:ilvl w:val="0"/>
          <w:numId w:val="8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аналогичные измерения провести для правой измерительной платформы.</w:t>
      </w:r>
    </w:p>
    <w:p w:rsidR="008F1CA4" w:rsidRDefault="008F1CA4">
      <w:pPr>
        <w:pStyle w:val="31"/>
      </w:pPr>
      <w:r>
        <w:t>Относительная погрешность измерений статической нагрузки на ось автомобиля, определяется по формуле:</w:t>
      </w:r>
    </w:p>
    <w:p w:rsidR="008F1CA4" w:rsidRDefault="000F5819">
      <w:pPr>
        <w:ind w:firstLine="426"/>
        <w:jc w:val="center"/>
        <w:rPr>
          <w:sz w:val="24"/>
          <w:szCs w:val="24"/>
        </w:rPr>
      </w:pPr>
      <w:r>
        <w:rPr>
          <w:position w:val="-30"/>
          <w:sz w:val="24"/>
          <w:szCs w:val="24"/>
        </w:rPr>
        <w:object w:dxaOrig="2500" w:dyaOrig="680">
          <v:shape id="_x0000_i1027" type="#_x0000_t75" style="width:125.25pt;height:33.75pt" o:ole="">
            <v:imagedata r:id="rId11" o:title=""/>
          </v:shape>
          <o:OLEObject Type="Embed" ProgID="Equation.3" ShapeID="_x0000_i1027" DrawAspect="Content" ObjectID="_1686049655" r:id="rId12"/>
        </w:object>
      </w:r>
    </w:p>
    <w:p w:rsidR="008F1CA4" w:rsidRDefault="008F1CA4">
      <w:pPr>
        <w:ind w:firstLine="426"/>
        <w:rPr>
          <w:sz w:val="24"/>
          <w:szCs w:val="24"/>
        </w:rPr>
      </w:pPr>
      <w:r>
        <w:rPr>
          <w:sz w:val="24"/>
          <w:szCs w:val="24"/>
        </w:rPr>
        <w:t>где:-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</w:rPr>
        <w:t xml:space="preserve"> - показания на экране монитора устройства (результат измерения), кН;</w:t>
      </w:r>
    </w:p>
    <w:p w:rsidR="008F1CA4" w:rsidRDefault="008F1CA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  <w:vertAlign w:val="subscript"/>
          <w:lang w:val="en-US"/>
        </w:rPr>
        <w:t>o</w:t>
      </w:r>
      <w:r>
        <w:rPr>
          <w:sz w:val="24"/>
          <w:szCs w:val="24"/>
        </w:rPr>
        <w:t xml:space="preserve"> - масса образцовых грузов, кг;</w:t>
      </w:r>
    </w:p>
    <w:p w:rsidR="008F1CA4" w:rsidRDefault="008F1CA4">
      <w:pPr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-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 xml:space="preserve"> – величина ускорения свободного падения.</w:t>
      </w:r>
    </w:p>
    <w:p w:rsidR="008F1CA4" w:rsidRDefault="008F1CA4">
      <w:pPr>
        <w:spacing w:line="240" w:lineRule="atLeast"/>
        <w:ind w:firstLine="601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Относительная погрешность измерений статической нагрузки на ось авт</w:t>
      </w:r>
      <w:r>
        <w:rPr>
          <w:b/>
          <w:bCs/>
          <w:i/>
          <w:iCs/>
          <w:sz w:val="24"/>
          <w:szCs w:val="24"/>
        </w:rPr>
        <w:t>о</w:t>
      </w:r>
      <w:r>
        <w:rPr>
          <w:b/>
          <w:bCs/>
          <w:i/>
          <w:iCs/>
          <w:sz w:val="24"/>
          <w:szCs w:val="24"/>
        </w:rPr>
        <w:t>мобиля не должна превышать 3%</w:t>
      </w:r>
    </w:p>
    <w:p w:rsidR="008F1CA4" w:rsidRDefault="008F1CA4">
      <w:pPr>
        <w:spacing w:line="240" w:lineRule="atLeast"/>
        <w:ind w:firstLine="601"/>
        <w:jc w:val="both"/>
        <w:rPr>
          <w:sz w:val="24"/>
          <w:szCs w:val="24"/>
        </w:rPr>
      </w:pPr>
      <w:r>
        <w:rPr>
          <w:sz w:val="24"/>
          <w:szCs w:val="24"/>
        </w:rPr>
        <w:t>6.3.4. Определение степени износа приводных роликов.</w:t>
      </w:r>
    </w:p>
    <w:p w:rsidR="008F1CA4" w:rsidRDefault="008F1CA4">
      <w:pPr>
        <w:spacing w:line="240" w:lineRule="atLeast"/>
        <w:ind w:firstLine="601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ежегодных поверок (кроме первичной) необходимо оценивать степень износа рабочей поверхности опорных роликов тормозного стенда. Оценку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водить путем измерения штангенциркулем глубины просвета между поверочной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нейкой, которую плотно устанавливают на ребро вдоль рабочей поверхности ролика, и дном канавки, возникающей на поверхности ролика вследствие его износа. Измерения проводить в местах наибольшего видимого износа ролика.</w:t>
      </w:r>
    </w:p>
    <w:p w:rsidR="008F1CA4" w:rsidRDefault="008F1CA4">
      <w:pPr>
        <w:spacing w:line="240" w:lineRule="atLeast"/>
        <w:ind w:firstLine="601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Значение величины просвета, вызванного износом ролика, не должно прев</w:t>
      </w:r>
      <w:r>
        <w:rPr>
          <w:b/>
          <w:bCs/>
          <w:i/>
          <w:iCs/>
          <w:sz w:val="24"/>
          <w:szCs w:val="24"/>
        </w:rPr>
        <w:t>ы</w:t>
      </w:r>
      <w:r>
        <w:rPr>
          <w:b/>
          <w:bCs/>
          <w:i/>
          <w:iCs/>
          <w:sz w:val="24"/>
          <w:szCs w:val="24"/>
        </w:rPr>
        <w:t>шать 5 мм.</w:t>
      </w:r>
    </w:p>
    <w:p w:rsidR="008F1CA4" w:rsidRDefault="008F1CA4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6.3.5. Определение погрешности преобразователя перемещений устройства для определения бокового увода автомобиля:</w:t>
      </w:r>
    </w:p>
    <w:p w:rsidR="008F1CA4" w:rsidRDefault="008F1CA4">
      <w:pPr>
        <w:pStyle w:val="21"/>
      </w:pPr>
      <w:r>
        <w:t>Определение погрешности преобразователя перемещений проводить в четырех точках, соответствующих перемещениям 2, 5, 10, 15 мм как налево, так и направо.</w:t>
      </w:r>
    </w:p>
    <w:p w:rsidR="008F1CA4" w:rsidRDefault="008F1CA4">
      <w:pPr>
        <w:pStyle w:val="21"/>
      </w:pPr>
      <w:r>
        <w:t>Значение перемещений задавать при помощи штангенциркуля, установленного в зазоре между платформой и основанием, а само перемещение осуществлять вручную до контакта платформы с закрепленной “ножкой” штангенциркуля.</w:t>
      </w:r>
    </w:p>
    <w:p w:rsidR="008F1CA4" w:rsidRDefault="008F1CA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Пользуясь формулой пересчета для преобразователя перемещений, приведенной в </w:t>
      </w:r>
      <w:r>
        <w:rPr>
          <w:snapToGrid w:val="0"/>
          <w:sz w:val="24"/>
          <w:szCs w:val="24"/>
        </w:rPr>
        <w:t xml:space="preserve">разделе «Калибровка» РЭ, </w:t>
      </w:r>
      <w:r>
        <w:rPr>
          <w:sz w:val="24"/>
          <w:szCs w:val="24"/>
        </w:rPr>
        <w:t>определить абсолютную погрешность преобразователя по формуле:</w:t>
      </w:r>
    </w:p>
    <w:p w:rsidR="008F1CA4" w:rsidRDefault="008F1CA4">
      <w:pPr>
        <w:ind w:firstLine="567"/>
        <w:jc w:val="center"/>
        <w:rPr>
          <w:sz w:val="24"/>
          <w:szCs w:val="24"/>
        </w:rPr>
      </w:pPr>
    </w:p>
    <w:p w:rsidR="008F1CA4" w:rsidRDefault="008F1CA4">
      <w:pPr>
        <w:ind w:firstLine="567"/>
        <w:jc w:val="center"/>
        <w:rPr>
          <w:snapToGrid w:val="0"/>
          <w:sz w:val="24"/>
          <w:szCs w:val="24"/>
          <w:vertAlign w:val="subscript"/>
        </w:rPr>
      </w:pPr>
      <w:r>
        <w:rPr>
          <w:sz w:val="24"/>
          <w:szCs w:val="24"/>
          <w:lang w:val="en-US"/>
        </w:rPr>
        <w:sym w:font="Symbol" w:char="F067"/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  <w:vertAlign w:val="subscript"/>
        </w:rPr>
        <w:t>измер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  <w:vertAlign w:val="subscript"/>
        </w:rPr>
        <w:t>действит</w:t>
      </w:r>
    </w:p>
    <w:p w:rsidR="008F1CA4" w:rsidRDefault="008F1CA4">
      <w:pPr>
        <w:pStyle w:val="21"/>
        <w:ind w:firstLine="0"/>
      </w:pPr>
    </w:p>
    <w:p w:rsidR="008F1CA4" w:rsidRDefault="008F1CA4">
      <w:pPr>
        <w:ind w:firstLine="42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Абсолютная погрешность измерений перемещений платформы не должна превышать ± 0,1 м/км.</w:t>
      </w:r>
    </w:p>
    <w:p w:rsidR="008F1CA4" w:rsidRDefault="008F1CA4">
      <w:pPr>
        <w:ind w:left="1440"/>
        <w:rPr>
          <w:sz w:val="24"/>
          <w:szCs w:val="24"/>
        </w:rPr>
      </w:pPr>
    </w:p>
    <w:p w:rsidR="008F1CA4" w:rsidRDefault="008F1C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ОФОРМЛЕНИЕ РЕЗУЛЬТАТОВ ПОВЕРКИ.</w:t>
      </w:r>
    </w:p>
    <w:p w:rsidR="008F1CA4" w:rsidRDefault="008F1CA4">
      <w:pPr>
        <w:jc w:val="center"/>
        <w:rPr>
          <w:b/>
          <w:bCs/>
          <w:sz w:val="24"/>
          <w:szCs w:val="24"/>
        </w:rPr>
      </w:pPr>
    </w:p>
    <w:p w:rsidR="008F1CA4" w:rsidRDefault="008F1CA4">
      <w:pPr>
        <w:ind w:firstLine="601"/>
        <w:jc w:val="both"/>
        <w:rPr>
          <w:sz w:val="24"/>
          <w:szCs w:val="24"/>
        </w:rPr>
      </w:pPr>
      <w:r>
        <w:rPr>
          <w:sz w:val="24"/>
          <w:szCs w:val="24"/>
        </w:rPr>
        <w:t>7.1. Комплекс, прошедший поверку с положительным результатом, признается годной и допускается к применению. На него выдается свидетельство о поверке по форме, установленной Госстандартом РФ.</w:t>
      </w:r>
    </w:p>
    <w:p w:rsidR="008F1CA4" w:rsidRDefault="008F1CA4">
      <w:pPr>
        <w:ind w:firstLine="601"/>
        <w:jc w:val="both"/>
        <w:rPr>
          <w:sz w:val="24"/>
          <w:szCs w:val="24"/>
        </w:rPr>
      </w:pPr>
      <w:r>
        <w:rPr>
          <w:sz w:val="24"/>
          <w:szCs w:val="24"/>
        </w:rPr>
        <w:t>7.2. Комплекс, не удовлетворяющий требованиям п.п. 6.1 - 6.3 настоящей метод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ки, признается непригодным и к применению не допускается. Отрицательные результ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ты поверки оформляются выдачей извещения о непригодности.</w:t>
      </w:r>
    </w:p>
    <w:p w:rsidR="008F1CA4" w:rsidRDefault="008F1CA4">
      <w:pPr>
        <w:jc w:val="center"/>
        <w:rPr>
          <w:sz w:val="24"/>
          <w:szCs w:val="24"/>
        </w:rPr>
      </w:pPr>
    </w:p>
    <w:sectPr w:rsidR="008F1CA4">
      <w:headerReference w:type="default" r:id="rId13"/>
      <w:footerReference w:type="default" r:id="rId14"/>
      <w:pgSz w:w="11907" w:h="16840" w:code="9"/>
      <w:pgMar w:top="1418" w:right="1134" w:bottom="1418" w:left="1701" w:header="720" w:footer="720" w:gutter="0"/>
      <w:pgNumType w:start="6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162" w:rsidRDefault="00B40162">
      <w:r>
        <w:separator/>
      </w:r>
    </w:p>
  </w:endnote>
  <w:endnote w:type="continuationSeparator" w:id="0">
    <w:p w:rsidR="00B40162" w:rsidRDefault="00B40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A4" w:rsidRDefault="008F1CA4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D5E">
      <w:rPr>
        <w:rStyle w:val="a5"/>
        <w:noProof/>
      </w:rPr>
      <w:t>65</w:t>
    </w:r>
    <w:r>
      <w:rPr>
        <w:rStyle w:val="a5"/>
      </w:rPr>
      <w:fldChar w:fldCharType="end"/>
    </w:r>
  </w:p>
  <w:p w:rsidR="008F1CA4" w:rsidRDefault="008F1CA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162" w:rsidRDefault="00B40162">
      <w:r>
        <w:separator/>
      </w:r>
    </w:p>
  </w:footnote>
  <w:footnote w:type="continuationSeparator" w:id="0">
    <w:p w:rsidR="00B40162" w:rsidRDefault="00B40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A4" w:rsidRDefault="008F1CA4">
    <w:pPr>
      <w:pStyle w:val="a3"/>
      <w:widowControl/>
      <w:pBdr>
        <w:bottom w:val="single" w:sz="6" w:space="1" w:color="auto"/>
      </w:pBdr>
      <w:jc w:val="right"/>
    </w:pPr>
    <w:r>
      <w:rPr>
        <w:sz w:val="24"/>
        <w:szCs w:val="24"/>
      </w:rPr>
      <w:t>МЕТОДИКА ПОВЕРКИ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414C5D"/>
    <w:multiLevelType w:val="hybridMultilevel"/>
    <w:tmpl w:val="ADEE1D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31F39"/>
    <w:multiLevelType w:val="singleLevel"/>
    <w:tmpl w:val="7A4A0BDE"/>
    <w:lvl w:ilvl="0">
      <w:start w:val="6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</w:abstractNum>
  <w:abstractNum w:abstractNumId="3">
    <w:nsid w:val="2DED0957"/>
    <w:multiLevelType w:val="hybridMultilevel"/>
    <w:tmpl w:val="2194B6EC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32146A5B"/>
    <w:multiLevelType w:val="hybridMultilevel"/>
    <w:tmpl w:val="62781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496DB5"/>
    <w:multiLevelType w:val="hybridMultilevel"/>
    <w:tmpl w:val="EBDE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001796"/>
    <w:multiLevelType w:val="hybridMultilevel"/>
    <w:tmpl w:val="F3C0B9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1E2D"/>
    <w:rsid w:val="000F5819"/>
    <w:rsid w:val="001E1E2D"/>
    <w:rsid w:val="008F1CA4"/>
    <w:rsid w:val="00B40162"/>
    <w:rsid w:val="00F8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jc w:val="center"/>
      <w:outlineLvl w:val="4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ind w:left="33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ind w:right="88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tabs>
        <w:tab w:val="left" w:pos="8931"/>
      </w:tabs>
      <w:ind w:left="442" w:right="51"/>
      <w:jc w:val="right"/>
      <w:outlineLvl w:val="8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ind w:firstLine="567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styleId="a8">
    <w:name w:val="Body Text"/>
    <w:basedOn w:val="a"/>
    <w:link w:val="a9"/>
    <w:uiPriority w:val="99"/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360"/>
    </w:pPr>
    <w:rPr>
      <w:color w:val="000000"/>
      <w:spacing w:val="-6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426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1503</Words>
  <Characters>8573</Characters>
  <Application>Microsoft Office Word</Application>
  <DocSecurity>0</DocSecurity>
  <Lines>71</Lines>
  <Paragraphs>20</Paragraphs>
  <ScaleCrop>false</ScaleCrop>
  <Company>Elcom Ltd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Alexandre Katalov</dc:creator>
  <cp:lastModifiedBy>Igor</cp:lastModifiedBy>
  <cp:revision>2</cp:revision>
  <cp:lastPrinted>2010-09-30T05:03:00Z</cp:lastPrinted>
  <dcterms:created xsi:type="dcterms:W3CDTF">2021-06-24T11:21:00Z</dcterms:created>
  <dcterms:modified xsi:type="dcterms:W3CDTF">2021-06-24T11:21:00Z</dcterms:modified>
</cp:coreProperties>
</file>