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00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Приложение Б</w:t>
      </w:r>
    </w:p>
    <w:p>
      <w:pPr>
        <w:pStyle w:val="Normal"/>
        <w:spacing w:lineRule="atLeast" w:line="300"/>
        <w:jc w:val="center"/>
        <w:rPr>
          <w:rFonts w:ascii="Arial" w:hAnsi="Arial" w:cs="Arial"/>
        </w:rPr>
      </w:pPr>
      <w:r>
        <w:rPr>
          <w:rFonts w:cs="Arial" w:ascii="Arial" w:hAnsi="Arial"/>
        </w:rPr>
        <w:t>(рекомендуемое)</w:t>
      </w:r>
    </w:p>
    <w:p>
      <w:pPr>
        <w:pStyle w:val="Normal"/>
        <w:spacing w:lineRule="atLeast" w:line="300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Протокол поверки сигнализатора оксида углерода "БУГ"</w:t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 xml:space="preserve">Дата выпуска </w:t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 xml:space="preserve">Модификация сигнализатора </w:t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 xml:space="preserve">Заводской № </w:t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 xml:space="preserve">Завод-изготовитель </w:t>
        <w:tab/>
      </w:r>
    </w:p>
    <w:p>
      <w:pPr>
        <w:pStyle w:val="3"/>
        <w:spacing w:lineRule="atLeast" w:line="260"/>
        <w:ind w:right="56" w:hanging="0"/>
        <w:rPr/>
      </w:pPr>
      <w:r>
        <w:rPr>
          <w:sz w:val="20"/>
        </w:rPr>
        <w:t>Поверка произведена сличением с данными поверочных газовых смесей, приготовленных и аттестованных 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tLeast" w:line="260"/>
        <w:ind w:firstLine="4111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>(когда и какой организацией)</w:t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>Паспорта газовых смесей №№</w:t>
        <w:tab/>
      </w:r>
    </w:p>
    <w:p>
      <w:pPr>
        <w:pStyle w:val="Normal"/>
        <w:tabs>
          <w:tab w:val="clear" w:pos="709"/>
          <w:tab w:val="left" w:pos="1985" w:leader="none"/>
          <w:tab w:val="right" w:pos="6521" w:leader="underscore"/>
        </w:tabs>
        <w:spacing w:lineRule="atLeast" w:line="260"/>
        <w:rPr/>
      </w:pPr>
      <w:r>
        <w:rPr>
          <w:rFonts w:cs="Arial" w:ascii="Arial" w:hAnsi="Arial"/>
        </w:rPr>
        <w:t>Условия поверки: температура окружающей среды</w:t>
        <w:tab/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>С</w:t>
      </w:r>
    </w:p>
    <w:p>
      <w:pPr>
        <w:pStyle w:val="Normal"/>
        <w:tabs>
          <w:tab w:val="clear" w:pos="709"/>
          <w:tab w:val="left" w:pos="2127" w:leader="none"/>
          <w:tab w:val="right" w:pos="6521" w:leader="underscore"/>
        </w:tabs>
        <w:spacing w:lineRule="atLeast" w:line="260"/>
        <w:ind w:firstLine="1683"/>
        <w:rPr/>
      </w:pPr>
      <w:r>
        <w:rPr>
          <w:rFonts w:cs="Arial" w:ascii="Arial" w:hAnsi="Arial"/>
        </w:rPr>
        <w:t xml:space="preserve">относительная влажность </w:t>
      </w:r>
      <w:r>
        <w:rPr>
          <w:rFonts w:cs="Arial" w:ascii="Arial" w:hAnsi="Arial"/>
          <w:sz w:val="19"/>
        </w:rPr>
        <w:t>окружающей</w:t>
      </w:r>
      <w:r>
        <w:rPr>
          <w:rFonts w:cs="Arial" w:ascii="Arial" w:hAnsi="Arial"/>
        </w:rPr>
        <w:t xml:space="preserve"> среды </w:t>
        <w:tab/>
        <w:t>%</w:t>
      </w:r>
    </w:p>
    <w:p>
      <w:pPr>
        <w:pStyle w:val="Normal"/>
        <w:tabs>
          <w:tab w:val="clear" w:pos="709"/>
          <w:tab w:val="left" w:pos="2127" w:leader="none"/>
          <w:tab w:val="right" w:pos="6521" w:leader="underscore"/>
        </w:tabs>
        <w:spacing w:lineRule="atLeast" w:line="260"/>
        <w:ind w:firstLine="1683"/>
        <w:rPr/>
      </w:pPr>
      <w:r>
        <w:rPr>
          <w:rFonts w:cs="Arial" w:ascii="Arial" w:hAnsi="Arial"/>
        </w:rPr>
        <w:t xml:space="preserve">атмосферное давление </w:t>
        <w:tab/>
        <w:t>кПа</w:t>
      </w:r>
    </w:p>
    <w:p>
      <w:pPr>
        <w:pStyle w:val="Normal"/>
        <w:spacing w:lineRule="atLeast" w:line="260"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РЕЗУЛЬТАТЫ ПОВЕРКИ</w:t>
      </w:r>
    </w:p>
    <w:p>
      <w:pPr>
        <w:pStyle w:val="Normal"/>
        <w:numPr>
          <w:ilvl w:val="0"/>
          <w:numId w:val="5"/>
        </w:numPr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 xml:space="preserve">Результаты внешнего осмотра </w:t>
        <w:tab/>
      </w:r>
    </w:p>
    <w:p>
      <w:pPr>
        <w:pStyle w:val="Normal"/>
        <w:numPr>
          <w:ilvl w:val="0"/>
          <w:numId w:val="5"/>
        </w:numPr>
        <w:tabs>
          <w:tab w:val="clear" w:pos="709"/>
          <w:tab w:val="right" w:pos="6521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>Электрическая прочность изоляции</w:t>
        <w:tab/>
      </w:r>
    </w:p>
    <w:p>
      <w:pPr>
        <w:pStyle w:val="Normal"/>
        <w:numPr>
          <w:ilvl w:val="0"/>
          <w:numId w:val="5"/>
        </w:numPr>
        <w:tabs>
          <w:tab w:val="clear" w:pos="709"/>
          <w:tab w:val="right" w:pos="6521" w:leader="underscore"/>
        </w:tabs>
        <w:spacing w:lineRule="atLeast" w:line="260"/>
        <w:rPr/>
      </w:pPr>
      <w:r>
        <w:rPr>
          <w:rFonts w:cs="Arial" w:ascii="Arial" w:hAnsi="Arial"/>
        </w:rPr>
        <w:t>Сопротивление изоляции электрических цепей</w:t>
        <w:tab/>
      </w:r>
    </w:p>
    <w:p>
      <w:pPr>
        <w:pStyle w:val="Normal"/>
        <w:numPr>
          <w:ilvl w:val="0"/>
          <w:numId w:val="5"/>
        </w:numPr>
        <w:tabs>
          <w:tab w:val="clear" w:pos="709"/>
          <w:tab w:val="right" w:pos="9072" w:leader="underscore"/>
        </w:tabs>
        <w:spacing w:lineRule="atLeast" w:line="260"/>
        <w:rPr/>
      </w:pPr>
      <w:r>
        <w:rPr>
          <w:rFonts w:cs="Arial" w:ascii="Arial" w:hAnsi="Arial"/>
        </w:rPr>
        <w:t>Результаты определения метрологических характеристик сигнализатора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426" w:leader="none"/>
          <w:tab w:val="right" w:pos="9072" w:leader="underscore"/>
        </w:tabs>
        <w:spacing w:lineRule="atLeast" w:line="260"/>
        <w:rPr>
          <w:rFonts w:ascii="Arial" w:hAnsi="Arial" w:cs="Arial"/>
        </w:rPr>
      </w:pPr>
      <w:r>
        <w:rPr>
          <w:rFonts w:cs="Arial" w:ascii="Arial" w:hAnsi="Arial"/>
        </w:rPr>
        <w:t>Определение относительной погрешности срабатывания сигнализатора</w:t>
      </w:r>
    </w:p>
    <w:tbl>
      <w:tblPr>
        <w:tblW w:w="66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2562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ПГС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Требуемый результат испытания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Действительный результат испытания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ПГС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Сигналы не выдаются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napToGrid w:val="false"/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ПГС №2 и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/>
            </w:pPr>
            <w:r>
              <w:rPr>
                <w:rFonts w:cs="Arial" w:ascii="Arial" w:hAnsi="Arial"/>
              </w:rPr>
              <w:t>Выдается предупредительная сигнализация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napToGrid w:val="false"/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ПГС №4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pacing w:lineRule="atLeast" w:line="300"/>
              <w:rPr/>
            </w:pPr>
            <w:r>
              <w:rPr>
                <w:rFonts w:cs="Arial" w:ascii="Arial" w:hAnsi="Arial"/>
              </w:rPr>
              <w:t>Выдается аварийная сигнализация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67" w:leader="none"/>
                <w:tab w:val="left" w:pos="10205" w:leader="none"/>
              </w:tabs>
              <w:snapToGrid w:val="false"/>
              <w:spacing w:lineRule="atLeast" w:line="3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numPr>
          <w:ilvl w:val="1"/>
          <w:numId w:val="5"/>
        </w:numPr>
        <w:tabs>
          <w:tab w:val="clear" w:pos="709"/>
          <w:tab w:val="left" w:pos="426" w:leader="none"/>
          <w:tab w:val="right" w:pos="6521" w:leader="underscore"/>
        </w:tabs>
        <w:spacing w:lineRule="atLeast" w:line="300"/>
        <w:rPr/>
      </w:pPr>
      <w:r>
        <w:rPr>
          <w:rFonts w:cs="Arial" w:ascii="Arial" w:hAnsi="Arial"/>
        </w:rPr>
        <w:t>Определение времени срабатывания сигнализации</w:t>
        <w:tab/>
      </w:r>
    </w:p>
    <w:p>
      <w:pPr>
        <w:pStyle w:val="Normal"/>
        <w:tabs>
          <w:tab w:val="clear" w:pos="709"/>
          <w:tab w:val="left" w:pos="426" w:leader="none"/>
          <w:tab w:val="right" w:pos="6521" w:leader="underscore"/>
        </w:tabs>
        <w:spacing w:lineRule="atLeast" w:line="300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numPr>
          <w:ilvl w:val="0"/>
          <w:numId w:val="5"/>
        </w:numPr>
        <w:tabs>
          <w:tab w:val="clear" w:pos="709"/>
          <w:tab w:val="right" w:pos="6521" w:leader="underscore"/>
        </w:tabs>
        <w:spacing w:lineRule="atLeast" w:line="300"/>
        <w:rPr>
          <w:rFonts w:ascii="Arial" w:hAnsi="Arial" w:cs="Arial"/>
        </w:rPr>
      </w:pPr>
      <w:r>
        <w:rPr>
          <w:rFonts w:cs="Arial" w:ascii="Arial" w:hAnsi="Arial"/>
        </w:rPr>
        <w:t>Заключение по протоколу</w:t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30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6521" w:leader="underscore"/>
        </w:tabs>
        <w:spacing w:lineRule="atLeast" w:line="300"/>
        <w:rPr>
          <w:rFonts w:ascii="Arial" w:hAnsi="Arial" w:cs="Arial"/>
        </w:rPr>
      </w:pPr>
      <w:r>
        <w:rPr>
          <w:rFonts w:cs="Arial" w:ascii="Arial" w:hAnsi="Arial"/>
        </w:rPr>
        <w:t>Поверитель:</w:t>
        <w:tab/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8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Государственная система обеспечения единства измерений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"/>
        <w:jc w:val="center"/>
        <w:rPr>
          <w:rFonts w:cs="Arial"/>
          <w:b/>
          <w:b/>
          <w:bCs/>
          <w:sz w:val="20"/>
        </w:rPr>
      </w:pPr>
      <w:r>
        <w:rPr>
          <w:rFonts w:cs="Arial"/>
          <w:b/>
          <w:bCs/>
          <w:sz w:val="20"/>
        </w:rPr>
        <w:t>СИГНАЛИЗАТОРЫ ОКСИДА УГЛЕРОДА</w:t>
        <w:br/>
        <w:t>"БУГ"</w:t>
      </w:r>
    </w:p>
    <w:p>
      <w:pPr>
        <w:pStyle w:val="Normal"/>
        <w:numPr>
          <w:ilvl w:val="0"/>
          <w:numId w:val="0"/>
        </w:numPr>
        <w:spacing w:lineRule="atLeast" w:line="360" w:before="120" w:after="240"/>
        <w:jc w:val="center"/>
        <w:outlineLvl w:val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Методика поверки</w:t>
      </w:r>
    </w:p>
    <w:p>
      <w:pPr>
        <w:pStyle w:val="Normal"/>
        <w:numPr>
          <w:ilvl w:val="0"/>
          <w:numId w:val="0"/>
        </w:numPr>
        <w:spacing w:before="0" w:after="3840"/>
        <w:jc w:val="center"/>
        <w:outlineLvl w:val="0"/>
        <w:rPr>
          <w:rFonts w:ascii="Arial" w:hAnsi="Arial" w:cs="Arial"/>
        </w:rPr>
      </w:pPr>
      <w:r>
        <w:rPr>
          <w:rFonts w:cs="Arial" w:ascii="Arial" w:hAnsi="Arial"/>
        </w:rPr>
        <w:t>МП-242-1096-2010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г. Санкт-Петербург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2010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exact" w:line="240"/>
        <w:ind w:firstLine="425"/>
        <w:jc w:val="both"/>
        <w:rPr/>
      </w:pPr>
      <w:r>
        <w:rPr>
          <w:rFonts w:cs="Arial" w:ascii="Arial" w:hAnsi="Arial"/>
        </w:rPr>
        <w:t>Настоящая методика поверки распространяется на сигнализаторы оксида углерода "БУГ" (в дальнейшем - сигнализаторы) всех исполнений и устанавливает методику их первичной поверки, периодической поверки в процессе эксплуатации и поверки после ремонта.</w:t>
      </w:r>
    </w:p>
    <w:p>
      <w:pPr>
        <w:pStyle w:val="Normal"/>
        <w:spacing w:lineRule="atLeast" w:line="300"/>
        <w:ind w:firstLine="426"/>
        <w:rPr/>
      </w:pPr>
      <w:r>
        <w:rPr>
          <w:rFonts w:cs="Arial" w:ascii="Arial" w:hAnsi="Arial"/>
        </w:rPr>
        <w:t>Межповерочный интервал – один год.</w:t>
      </w:r>
    </w:p>
    <w:p>
      <w:pPr>
        <w:pStyle w:val="Normal"/>
        <w:spacing w:lineRule="atLeast" w:line="300"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1  ОПЕРАЦИИ ПОВЕРКИ</w:t>
      </w:r>
    </w:p>
    <w:p>
      <w:pPr>
        <w:pStyle w:val="Normal"/>
        <w:spacing w:lineRule="exact" w:line="240"/>
        <w:ind w:firstLine="425"/>
        <w:rPr/>
      </w:pPr>
      <w:r>
        <w:rPr>
          <w:rFonts w:cs="Arial" w:ascii="Arial" w:hAnsi="Arial"/>
        </w:rPr>
        <w:t>1.1  При проведении поверки должны выполняться операции, указанные в таблице 1.</w:t>
      </w:r>
    </w:p>
    <w:p>
      <w:pPr>
        <w:pStyle w:val="Normal"/>
        <w:spacing w:lineRule="atLeast" w:line="300"/>
        <w:rPr>
          <w:rFonts w:ascii="Arial" w:hAnsi="Arial" w:cs="Arial"/>
        </w:rPr>
      </w:pPr>
      <w:r>
        <w:rPr>
          <w:rFonts w:cs="Arial" w:ascii="Arial" w:hAnsi="Arial"/>
        </w:rPr>
        <w:t>Таблица 1</w:t>
      </w:r>
    </w:p>
    <w:tbl>
      <w:tblPr>
        <w:tblW w:w="66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993"/>
        <w:gridCol w:w="1275"/>
        <w:gridCol w:w="1003"/>
      </w:tblGrid>
      <w:tr>
        <w:trPr>
          <w:cantSplit w:val="true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Наименование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Номер пункта методики поверки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Проведение операции при</w:t>
            </w:r>
          </w:p>
        </w:tc>
      </w:tr>
      <w:tr>
        <w:trPr>
          <w:cantSplit w:val="true"/>
        </w:trPr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первичной поверке и поверке после ремонта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периодической поверке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Внешний осмотр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lineRule="auto" w:line="240" w:before="120" w:after="0"/>
              <w:jc w:val="center"/>
              <w:rPr>
                <w:rFonts w:cs="Arial"/>
                <w:b w:val="false"/>
                <w:b w:val="false"/>
                <w:bCs/>
                <w:sz w:val="20"/>
              </w:rPr>
            </w:pPr>
            <w:r>
              <w:rPr>
                <w:rFonts w:cs="Arial"/>
                <w:b w:val="false"/>
                <w:bCs/>
                <w:sz w:val="2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lineRule="auto" w:line="240" w:before="120" w:after="0"/>
              <w:jc w:val="center"/>
              <w:rPr>
                <w:rFonts w:cs="Arial"/>
                <w:b w:val="false"/>
                <w:b w:val="false"/>
                <w:bCs/>
                <w:sz w:val="20"/>
              </w:rPr>
            </w:pPr>
            <w:r>
              <w:rPr>
                <w:rFonts w:cs="Arial"/>
                <w:b w:val="false"/>
                <w:bCs/>
                <w:sz w:val="20"/>
              </w:rPr>
              <w:t>Да</w:t>
            </w:r>
          </w:p>
        </w:tc>
      </w:tr>
      <w:tr>
        <w:trPr>
          <w:trHeight w:val="299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Опробование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Проверка электрической прочности изоляции и сопротивления изоляции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Нет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</w:rPr>
              <w:t>Определение метрологических характеристик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</w:t>
            </w:r>
          </w:p>
        </w:tc>
      </w:tr>
    </w:tbl>
    <w:p>
      <w:pPr>
        <w:pStyle w:val="Normal"/>
        <w:spacing w:lineRule="exact" w:line="240"/>
        <w:ind w:firstLine="425"/>
        <w:rPr/>
      </w:pPr>
      <w:r>
        <w:rPr>
          <w:rFonts w:cs="Arial" w:ascii="Arial" w:hAnsi="Arial"/>
        </w:rPr>
        <w:t>1.2  Если при проведении той или иной операции поверки получен отрицательный результат, поверка прекращается.</w:t>
      </w:r>
    </w:p>
    <w:p>
      <w:pPr>
        <w:pStyle w:val="Normal"/>
        <w:spacing w:lineRule="atLeast" w:line="300"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2  СРЕДСТВА ПОВЕРКИ</w:t>
      </w:r>
    </w:p>
    <w:p>
      <w:pPr>
        <w:pStyle w:val="Normal"/>
        <w:spacing w:lineRule="exact" w:line="240"/>
        <w:ind w:firstLine="425"/>
        <w:rPr/>
      </w:pPr>
      <w:r>
        <w:rPr>
          <w:rFonts w:cs="Arial" w:ascii="Arial" w:hAnsi="Arial"/>
        </w:rPr>
        <w:t>2.1  При проведении поверки должны применяться средства поверки, указанные в таблице 2.</w:t>
      </w:r>
    </w:p>
    <w:p>
      <w:pPr>
        <w:pStyle w:val="Normal"/>
        <w:spacing w:lineRule="atLeast" w:line="300"/>
        <w:ind w:left="225" w:firstLine="567"/>
        <w:rPr/>
      </w:pPr>
      <w:r>
        <w:rPr/>
        <w:t>Таблица 2</w:t>
      </w:r>
    </w:p>
    <w:tbl>
      <w:tblPr>
        <w:tblW w:w="6631" w:type="dxa"/>
        <w:jc w:val="left"/>
        <w:tblInd w:w="32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092"/>
        <w:gridCol w:w="2694"/>
        <w:gridCol w:w="2845"/>
      </w:tblGrid>
      <w:tr>
        <w:trPr>
          <w:tblHeader w:val="true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</w:rPr>
              <w:t>Номер пункта НТД по поверке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</w:rPr>
              <w:t>Наименование, тип, марка эталонного средства измерений или вспомогательного средства поверки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</w:rPr>
              <w:t>ГОСТ, ТУ или основные технические и (или) метрологические характеристики (МХ)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0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Fonts w:cs="Arial" w:ascii="Arial" w:hAnsi="Arial"/>
                <w:sz w:val="16"/>
              </w:rPr>
              <w:t>ГСО-ПГС оксид углерода – воздух в баллонах под давлением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0"/>
              <w:rPr/>
            </w:pPr>
            <w:r>
              <w:rPr>
                <w:rFonts w:cs="Arial" w:ascii="Arial" w:hAnsi="Arial"/>
                <w:sz w:val="18"/>
              </w:rPr>
              <w:t>ТУ 6-16-2956-92 (Приложение А)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0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Установка пробойная универсальная УПУ 1М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АЭ 2.771.001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0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Мегомметр Ф4202/2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</w:rPr>
              <w:t>ТУ25-04-2131-78, кл.2,5, напряжение на разомкнутых контактах 500 В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0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Барометр-анероид контрольный М-67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Fonts w:cs="Arial" w:ascii="Arial" w:hAnsi="Arial"/>
                <w:sz w:val="16"/>
              </w:rPr>
              <w:t>ТУ 2504-1797-75, диапазон измерений (610-790) мм рт.ст, погрешность ±0,8 мм рт.ст.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</w:t>
      </w:r>
    </w:p>
    <w:p>
      <w:pPr>
        <w:pStyle w:val="Normal"/>
        <w:ind w:firstLine="425"/>
        <w:rPr/>
      </w:pPr>
      <w:r>
        <w:rPr>
          <w:rFonts w:cs="Arial" w:ascii="Arial" w:hAnsi="Arial"/>
        </w:rPr>
        <w:t>Результаты определения времени срабатывания сигнализатора считаются положительными, если время срабатывания сигнализатора не превышает 60 с.</w:t>
      </w:r>
    </w:p>
    <w:p>
      <w:pPr>
        <w:pStyle w:val="Normal"/>
        <w:spacing w:lineRule="atLeast" w:line="300"/>
        <w:jc w:val="center"/>
        <w:rPr>
          <w:rFonts w:ascii="Arial" w:hAnsi="Arial" w:cs="Arial"/>
        </w:rPr>
      </w:pPr>
      <w:r>
        <w:rPr>
          <w:rFonts w:cs="Arial" w:ascii="Arial" w:hAnsi="Arial"/>
        </w:rPr>
        <w:t>7  ОФОРМЛЕНИЕ РЕЗУЛЬТАТОВ ПОВЕРКИ</w:t>
      </w:r>
    </w:p>
    <w:p>
      <w:pPr>
        <w:pStyle w:val="Normal"/>
        <w:ind w:firstLine="426"/>
        <w:rPr/>
      </w:pPr>
      <w:r>
        <w:rPr>
          <w:rFonts w:cs="Arial" w:ascii="Arial" w:hAnsi="Arial"/>
        </w:rPr>
        <w:t>7.1  При проведении поверки оформляют протокол результатов поверки, форма которого приведена в Приложении Б.</w:t>
      </w:r>
    </w:p>
    <w:p>
      <w:pPr>
        <w:pStyle w:val="Normal"/>
        <w:ind w:firstLine="426"/>
        <w:rPr/>
      </w:pPr>
      <w:r>
        <w:rPr>
          <w:rFonts w:cs="Arial" w:ascii="Arial" w:hAnsi="Arial"/>
        </w:rPr>
        <w:t>7.2  Сигнализаторы признают годными к эксплуатации, если они удовлетворяют требованиям настоящего документа.</w:t>
      </w:r>
    </w:p>
    <w:p>
      <w:pPr>
        <w:pStyle w:val="Normal"/>
        <w:ind w:firstLine="426"/>
        <w:rPr/>
      </w:pPr>
      <w:r>
        <w:rPr>
          <w:rFonts w:cs="Arial" w:ascii="Arial" w:hAnsi="Arial"/>
        </w:rPr>
        <w:t>7.3  Положительные результаты поверки оформляют свидетельством установленной формы согласно ПР 50.2.006.</w:t>
      </w:r>
    </w:p>
    <w:p>
      <w:pPr>
        <w:pStyle w:val="Normal"/>
        <w:ind w:firstLine="426"/>
        <w:rPr/>
      </w:pPr>
      <w:r>
        <w:rPr>
          <w:rFonts w:cs="Arial" w:ascii="Arial" w:hAnsi="Arial"/>
        </w:rPr>
        <w:t>7.4  При отрицательных результатах поверки выдают извещение о непригодности, с указанием причин непригодности, установленной формы согласно ПР 50.2.006.</w:t>
      </w:r>
    </w:p>
    <w:p>
      <w:pPr>
        <w:pStyle w:val="Normal"/>
        <w:ind w:firstLine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300"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Приложение А</w:t>
      </w:r>
    </w:p>
    <w:p>
      <w:pPr>
        <w:pStyle w:val="Normal"/>
        <w:spacing w:lineRule="atLeast" w:line="300"/>
        <w:jc w:val="center"/>
        <w:rPr>
          <w:rFonts w:ascii="Arial" w:hAnsi="Arial" w:cs="Arial"/>
        </w:rPr>
      </w:pPr>
      <w:r>
        <w:rPr>
          <w:rFonts w:cs="Arial" w:ascii="Arial" w:hAnsi="Arial"/>
        </w:rPr>
        <w:t>(обязательное)</w:t>
      </w:r>
    </w:p>
    <w:p>
      <w:pPr>
        <w:pStyle w:val="Normal"/>
        <w:spacing w:lineRule="atLeast" w:line="300"/>
        <w:jc w:val="center"/>
        <w:rPr>
          <w:rFonts w:cs="Arial"/>
        </w:rPr>
      </w:pPr>
      <w:r>
        <w:rPr>
          <w:rFonts w:cs="Arial" w:ascii="Arial" w:hAnsi="Arial"/>
        </w:rPr>
        <w:t>Технические характеристики ГСО-ПГС состава оксид углерода - воздух, используемых при проведении поверки</w:t>
      </w:r>
    </w:p>
    <w:tbl>
      <w:tblPr>
        <w:tblW w:w="6394" w:type="dxa"/>
        <w:jc w:val="left"/>
        <w:tblInd w:w="12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1417"/>
        <w:gridCol w:w="1560"/>
        <w:gridCol w:w="1701"/>
        <w:gridCol w:w="1007"/>
      </w:tblGrid>
      <w:tr>
        <w:trPr>
          <w:trHeight w:val="1361" w:hRule="atLeas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Номер ГСО-ПГС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right="-9" w:hanging="1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Номинальное значение объемной доли оксида углерода в ПГС, млн</w:t>
            </w:r>
            <w:r>
              <w:rPr>
                <w:rFonts w:cs="Arial" w:ascii="Arial" w:hAnsi="Arial"/>
                <w:vertAlign w:val="superscript"/>
              </w:rPr>
              <w:t>-1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Пределы допускаемого отклонения, объемная доля оксида углерода, млн</w:t>
            </w:r>
            <w:r>
              <w:rPr>
                <w:rFonts w:cs="Arial" w:ascii="Arial" w:hAnsi="Arial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exact" w:line="180"/>
              <w:jc w:val="center"/>
              <w:rPr/>
            </w:pPr>
            <w:r>
              <w:rPr>
                <w:rFonts w:cs="Arial" w:ascii="Arial" w:hAnsi="Arial"/>
              </w:rPr>
              <w:t>Пределы допускаемой погрешности аттестации</w:t>
            </w:r>
          </w:p>
        </w:tc>
        <w:tc>
          <w:tcPr>
            <w:tcW w:w="10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Номер ГСО-ПГС по реестру</w:t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1,3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0,7  млн</w:t>
            </w:r>
            <w:r>
              <w:rPr>
                <w:rFonts w:cs="Arial" w:ascii="Arial" w:hAnsi="Arial"/>
                <w:vertAlign w:val="superscript"/>
              </w:rPr>
              <w:t>-1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4264-88</w:t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0" w:type="dxa"/>
            </w:tcMar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Symbol" w:cs="Symbol" w:ascii="Symbol" w:hAnsi="Symbol"/>
                <w:sz w:val="18"/>
              </w:rPr>
              <w:t>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(0,1Х+5,3)% отн.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3843-87</w:t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2 % отн.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3844-87</w:t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7,0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647" w:leader="none"/>
              </w:tabs>
              <w:spacing w:lineRule="atLeast" w:line="30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2 % отн.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300"/>
              <w:jc w:val="center"/>
              <w:rPr/>
            </w:pPr>
            <w:r>
              <w:rPr>
                <w:rFonts w:cs="Arial" w:ascii="Arial" w:hAnsi="Arial"/>
              </w:rPr>
              <w:t>3847-87</w:t>
            </w:r>
          </w:p>
        </w:tc>
      </w:tr>
    </w:tbl>
    <w:p>
      <w:pPr>
        <w:pStyle w:val="Normal"/>
        <w:spacing w:lineRule="atLeast" w:line="300"/>
        <w:rPr/>
      </w:pPr>
      <w:r>
        <w:rPr>
          <w:rFonts w:cs="Arial" w:ascii="Arial" w:hAnsi="Arial"/>
          <w:b/>
        </w:rPr>
        <w:t>Примечание:</w:t>
      </w:r>
      <w:r>
        <w:rPr>
          <w:rFonts w:cs="Arial" w:ascii="Arial" w:hAnsi="Arial"/>
        </w:rPr>
        <w:t xml:space="preserve"> изготовители и поставщики ГСО-ПГС:</w:t>
      </w:r>
    </w:p>
    <w:p>
      <w:pPr>
        <w:pStyle w:val="Normal"/>
        <w:numPr>
          <w:ilvl w:val="0"/>
          <w:numId w:val="10"/>
        </w:numPr>
        <w:spacing w:lineRule="atLeast" w:line="260"/>
        <w:ind w:left="357" w:hanging="357"/>
        <w:jc w:val="both"/>
        <w:rPr/>
      </w:pPr>
      <w:r>
        <w:rPr>
          <w:rFonts w:cs="Arial" w:ascii="Arial" w:hAnsi="Arial"/>
        </w:rPr>
        <w:t>ООО "Мониторинг", 190005, г. Санкт-Петербург, Московский пр., 19. тел. (812)315-11-45, факс 327-97-76;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cs="Arial" w:ascii="Arial" w:hAnsi="Arial"/>
        </w:rPr>
        <w:t>ФГУП "СПО "Аналитприбор"", 214031, Россия, г. Смоленск, ул. Бабушкина, 3, тел. (4812) 51-32-39;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cs="Arial" w:ascii="Arial" w:hAnsi="Arial"/>
        </w:rPr>
        <w:t>ОАО "Линде Газ Рус" – 143907, Россия, Московская обл., г. Балашиха, ул. Белякова, 1-а; тел: (495) 5211565, 5214883, 5213013; факс: 5212768;</w:t>
      </w:r>
    </w:p>
    <w:p>
      <w:pPr>
        <w:pStyle w:val="Normal"/>
        <w:numPr>
          <w:ilvl w:val="0"/>
          <w:numId w:val="10"/>
        </w:numPr>
        <w:spacing w:lineRule="atLeast" w:line="260"/>
        <w:ind w:left="357" w:hanging="357"/>
        <w:jc w:val="both"/>
        <w:rPr/>
      </w:pPr>
      <w:r>
        <w:rPr>
          <w:rFonts w:cs="Arial" w:ascii="Arial" w:hAnsi="Arial"/>
        </w:rPr>
        <w:t>ЗАО “Лентехгаз”,193148, г. Санкт-Петербург, Б. Смоленский пр., 11, тел.(812)265-18-29, факс 567-12-26;</w:t>
      </w:r>
    </w:p>
    <w:p>
      <w:pPr>
        <w:pStyle w:val="Normal"/>
        <w:numPr>
          <w:ilvl w:val="0"/>
          <w:numId w:val="10"/>
        </w:numPr>
        <w:spacing w:lineRule="atLeast" w:line="260"/>
        <w:ind w:left="357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ООО "ПГС - Сервис", 624250, Россия, Свердловская обл., г. Заречный, ул. Попова, 9А, тел.(34377) 7-29-11, факс (34377) 7-29-44.</w:t>
      </w:r>
    </w:p>
    <w:p>
      <w:pPr>
        <w:pStyle w:val="Normal"/>
        <w:spacing w:lineRule="atLeast" w:line="260" w:before="12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7</w:t>
      </w:r>
      <w:r>
        <w:br w:type="page"/>
      </w:r>
    </w:p>
    <w:p>
      <w:pPr>
        <w:pStyle w:val="21"/>
        <w:spacing w:lineRule="atLeast" w:line="220"/>
        <w:ind w:firstLine="426"/>
        <w:rPr/>
      </w:pPr>
      <w:r>
        <w:rPr>
          <w:sz w:val="20"/>
        </w:rPr>
        <w:t>Определение основной абсолютной погрешности сигнализатора проводят при поочередной подаче на блок датчика ГСО-ПГС в последовательности № 1-2-3-4 (Приложение </w:t>
      </w:r>
      <w:r>
        <w:rPr>
          <w:sz w:val="20"/>
          <w:lang w:val="en-US"/>
        </w:rPr>
        <w:t>A</w:t>
      </w:r>
      <w:r>
        <w:rPr>
          <w:sz w:val="20"/>
        </w:rPr>
        <w:t>) с расходом (0,5 ± 0,2) дм</w:t>
      </w:r>
      <w:r>
        <w:rPr>
          <w:sz w:val="20"/>
          <w:vertAlign w:val="superscript"/>
        </w:rPr>
        <w:t>3</w:t>
      </w:r>
      <w:r>
        <w:rPr>
          <w:sz w:val="20"/>
        </w:rPr>
        <w:t>/мин.</w:t>
      </w:r>
    </w:p>
    <w:p>
      <w:pPr>
        <w:pStyle w:val="31"/>
        <w:spacing w:lineRule="exact" w:line="220"/>
        <w:ind w:firstLine="426"/>
        <w:rPr/>
      </w:pPr>
      <w:r>
        <w:rPr>
          <w:sz w:val="20"/>
        </w:rPr>
        <w:t>Результаты определения основной абсолютной погрешности сигнализатора считают положительными, если:</w:t>
      </w:r>
    </w:p>
    <w:p>
      <w:pPr>
        <w:pStyle w:val="Normal"/>
        <w:numPr>
          <w:ilvl w:val="0"/>
          <w:numId w:val="7"/>
        </w:numPr>
        <w:spacing w:lineRule="exact" w:line="220"/>
        <w:ind w:left="709" w:hanging="709"/>
        <w:jc w:val="both"/>
        <w:rPr/>
      </w:pPr>
      <w:r>
        <w:rPr>
          <w:rFonts w:cs="Arial" w:ascii="Arial" w:hAnsi="Arial"/>
        </w:rPr>
        <w:t>При подаче ГСО-ПГС № 1 в течение 60 с сигналы не выдаются;</w:t>
      </w:r>
    </w:p>
    <w:p>
      <w:pPr>
        <w:pStyle w:val="Normal"/>
        <w:numPr>
          <w:ilvl w:val="0"/>
          <w:numId w:val="7"/>
        </w:numPr>
        <w:spacing w:lineRule="exact" w:line="220"/>
        <w:ind w:left="426" w:hanging="426"/>
        <w:jc w:val="both"/>
        <w:rPr/>
      </w:pPr>
      <w:r>
        <w:rPr>
          <w:rFonts w:cs="Arial" w:ascii="Arial" w:hAnsi="Arial"/>
        </w:rPr>
        <w:t>При подаче ГСО-ПГС № 2 и №3 выдается предупредительный сигнал (работает прерывистая световая и звуковая сигнализация);</w:t>
      </w:r>
    </w:p>
    <w:p>
      <w:pPr>
        <w:pStyle w:val="Normal"/>
        <w:numPr>
          <w:ilvl w:val="0"/>
          <w:numId w:val="7"/>
        </w:numPr>
        <w:spacing w:lineRule="exact" w:line="220"/>
        <w:ind w:left="426" w:hanging="426"/>
        <w:jc w:val="both"/>
        <w:rPr/>
      </w:pPr>
      <w:r>
        <w:rPr>
          <w:rFonts w:cs="Arial" w:ascii="Arial" w:hAnsi="Arial"/>
        </w:rPr>
        <w:t>При подаче ГСО-ПГС №4 выдается аварийный сигнал (работает непрерывная световая и звуковая сигнализация).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Такой результат означает, что действительные значения погрешности сигнализатора не превышают нормированных пределов допускаемой основной абсолютной погрешности.</w:t>
      </w:r>
    </w:p>
    <w:p>
      <w:pPr>
        <w:pStyle w:val="Normal"/>
        <w:spacing w:lineRule="exact" w:line="220"/>
        <w:ind w:firstLine="426"/>
        <w:jc w:val="both"/>
        <w:rPr/>
      </w:pPr>
      <w:r>
        <w:rPr>
          <w:rFonts w:cs="Arial" w:ascii="Arial" w:hAnsi="Arial"/>
        </w:rPr>
        <w:t>6.4.2  Определение времени срабатывания сигнализатора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Определение времени срабатывания сигнализатора осуществляется при пропускании ГСО-ПГС № 2 и №4. Перед определением времени срабатывания следует снять насадку с корпуса блока датчика.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Допускается проводить определение времени срабатывания одновременно с определением основной абсолютной погрешности по п. 6.4.1.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После пропускания ПГС через газовую схему в течение 10 с (при длине соединительных трубок не более 0,5 м) насадка надевается на корпус блока датчика и включается секундомер. В момент срабатывания сигнализации выключить секундомер.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  <w:drawing>
          <wp:inline distT="0" distB="0" distL="0" distR="0">
            <wp:extent cx="3070860" cy="214820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1 – баллон с ГСО-ПГС; 2 – редуктор; 3 – вентиль тонкой регулировки; 4 – индикатор расхода (ротаметр); 5 – блок датчика сигнализатора двухблочного исполнения / сигнализатор моноблочного исполнения (показан условно, блок питания и сетевой шнур не показаны); 6 – насадка</w:t>
      </w:r>
    </w:p>
    <w:p>
      <w:pPr>
        <w:pStyle w:val="Normal"/>
        <w:jc w:val="center"/>
        <w:rPr/>
      </w:pPr>
      <w:r>
        <w:rPr>
          <w:rFonts w:cs="Arial" w:ascii="Arial" w:hAnsi="Arial"/>
        </w:rPr>
        <w:t>Рис. 1 - Схема подачи ПГС из баллонов под давлением на сгнализатор оксида углерода "БУГ"</w:t>
      </w:r>
    </w:p>
    <w:p>
      <w:pPr>
        <w:pStyle w:val="Normal"/>
        <w:spacing w:lineRule="atLeast" w:line="260"/>
        <w:rPr>
          <w:rFonts w:cs="Arial"/>
        </w:rPr>
      </w:pPr>
      <w:r>
        <w:rPr>
          <w:rFonts w:cs="Arial" w:ascii="Arial" w:hAnsi="Arial"/>
        </w:rPr>
        <w:t>6</w:t>
      </w:r>
    </w:p>
    <w:tbl>
      <w:tblPr>
        <w:tblW w:w="6489" w:type="dxa"/>
        <w:jc w:val="left"/>
        <w:tblInd w:w="32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092"/>
        <w:gridCol w:w="2552"/>
        <w:gridCol w:w="2845"/>
      </w:tblGrid>
      <w:tr>
        <w:trPr>
          <w:tblHeader w:val="true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Номер пункта НТД по поверке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Наименование, тип, марка эталонного средства измерений или вспомогательного средства поверки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ГОСТ, ТУ или основные технические и (или) метрологические характеристики (МХ)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Психрометр аспирационный М-З4-М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ТУ 52.07-(ГРПИ.405132.001)-92, диапазон относит. влажности (10-100)% при температуре (5-40)°С 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Термометр ртутный стеклянный лабораторный ТЛ-4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ТУ 25-2021.003-88, ГОСТ 28498-90, диапазон измерений (0-55)°С, цена деления 0,1°С, погрешность ±0,2°С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Ротаметр РМ-А-0,063ГУЗ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ТУ 25-02.070213-82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Вентиль точной регулировки ВТР-1 (или ВТР-1-М160)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диапазон рабочего давления (0-150) кгс/см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 w:ascii="Arial" w:hAnsi="Arial"/>
                <w:sz w:val="16"/>
                <w:szCs w:val="16"/>
              </w:rPr>
              <w:t>, диаметр условного прохода 3 мм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Насадка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СКЯТ.441586.204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Секундомер СОСпр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ТУ 25-1894.003-90, погрешность ±0,2 с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Трубка поливинилхлоридная (ПВХ)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ТУ 6-01-2-120-73, 6х1,5 мм, длина 2 м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spacing w:lineRule="atLeast" w:line="300"/>
        <w:rPr>
          <w:rFonts w:ascii="Arial" w:hAnsi="Arial" w:cs="Arial"/>
          <w:bCs/>
          <w:sz w:val="18"/>
        </w:rPr>
      </w:pPr>
      <w:r>
        <w:rPr>
          <w:rFonts w:cs="Arial" w:ascii="Arial" w:hAnsi="Arial"/>
          <w:bCs/>
          <w:sz w:val="18"/>
        </w:rPr>
        <w:t>Примечания: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ind w:left="426" w:hanging="426"/>
        <w:rPr/>
      </w:pPr>
      <w:r>
        <w:rPr>
          <w:rFonts w:cs="Arial" w:ascii="Arial" w:hAnsi="Arial"/>
          <w:sz w:val="18"/>
        </w:rPr>
        <w:t>Все средства поверки должны иметь действующие свидетельства о поверке;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ind w:left="426" w:hanging="426"/>
        <w:rPr/>
      </w:pPr>
      <w:r>
        <w:rPr>
          <w:rFonts w:cs="Arial" w:ascii="Arial" w:hAnsi="Arial"/>
          <w:sz w:val="18"/>
        </w:rPr>
        <w:t>Допускается использование других средств поверки, метрологические характеристики которых не хуже указанных в таблице 2.</w:t>
      </w:r>
    </w:p>
    <w:p>
      <w:pPr>
        <w:pStyle w:val="Normal"/>
        <w:spacing w:lineRule="atLeast" w:line="260"/>
        <w:jc w:val="center"/>
        <w:rPr/>
      </w:pPr>
      <w:r>
        <w:rPr>
          <w:rFonts w:cs="Arial" w:ascii="Arial" w:hAnsi="Arial"/>
        </w:rPr>
        <w:t>3  ТРЕБОВАНИЯ БЕЗОПАСНОСТИ</w:t>
      </w:r>
    </w:p>
    <w:p>
      <w:pPr>
        <w:pStyle w:val="Normal"/>
        <w:ind w:firstLine="426"/>
        <w:jc w:val="both"/>
        <w:rPr/>
      </w:pPr>
      <w:r>
        <w:rPr>
          <w:rFonts w:cs="Arial" w:ascii="Arial" w:hAnsi="Arial"/>
        </w:rPr>
        <w:t>3.1  Помещение, в котором проводится поверка, должно быть оборудовано приточно-вытяжной вентиляцией.</w:t>
      </w:r>
    </w:p>
    <w:p>
      <w:pPr>
        <w:pStyle w:val="Normal"/>
        <w:ind w:firstLine="426"/>
        <w:jc w:val="both"/>
        <w:rPr/>
      </w:pPr>
      <w:r>
        <w:rPr>
          <w:rFonts w:cs="Arial" w:ascii="Arial" w:hAnsi="Arial"/>
        </w:rPr>
        <w:t>3.2  При работе с чистыми газами и газовыми смесями в баллонах под давлением необходимо соблюдать “Правила устройства и безопасной эксплуатации сосудов, работающих под давлением”, утвержденные Ростехнадзором.</w:t>
      </w:r>
    </w:p>
    <w:p>
      <w:pPr>
        <w:pStyle w:val="Normal"/>
        <w:ind w:firstLine="426"/>
        <w:jc w:val="both"/>
        <w:rPr/>
      </w:pPr>
      <w:r>
        <w:rPr>
          <w:rFonts w:cs="Arial" w:ascii="Arial" w:hAnsi="Arial"/>
        </w:rPr>
        <w:t>3.3  Не допускается сбрасывать ГСО-ПГС в атмосферу рабочих помещений.</w:t>
      </w:r>
    </w:p>
    <w:p>
      <w:pPr>
        <w:pStyle w:val="Normal"/>
        <w:ind w:firstLine="425"/>
        <w:jc w:val="center"/>
        <w:rPr>
          <w:rFonts w:ascii="Arial" w:hAnsi="Arial" w:cs="Arial"/>
        </w:rPr>
      </w:pPr>
      <w:r>
        <w:rPr>
          <w:rFonts w:cs="Arial" w:ascii="Arial" w:hAnsi="Arial"/>
        </w:rPr>
        <w:t>4  УСЛОВИЯ ПОВЕРКИ</w:t>
      </w:r>
    </w:p>
    <w:p>
      <w:pPr>
        <w:pStyle w:val="Normal"/>
        <w:ind w:firstLine="425"/>
        <w:rPr>
          <w:rFonts w:ascii="Arial" w:hAnsi="Arial" w:cs="Arial"/>
        </w:rPr>
      </w:pPr>
      <w:r>
        <w:rPr>
          <w:rFonts w:cs="Arial" w:ascii="Arial" w:hAnsi="Arial"/>
        </w:rPr>
        <w:t>4.1  При проведении поверки должны соблюдаться следующие условия: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387" w:leader="none"/>
          <w:tab w:val="left" w:pos="6521" w:leader="none"/>
        </w:tabs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  <w:t>температура окружающего воздуха, °С</w:t>
        <w:tab/>
        <w:t>20±5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387" w:leader="none"/>
          <w:tab w:val="left" w:pos="6521" w:leader="none"/>
          <w:tab w:val="right" w:pos="9639" w:leader="none"/>
        </w:tabs>
        <w:rPr/>
      </w:pPr>
      <w:r>
        <w:rPr>
          <w:rFonts w:cs="Arial" w:ascii="Arial" w:hAnsi="Arial"/>
          <w:sz w:val="19"/>
        </w:rPr>
        <w:t xml:space="preserve">относительная влажность воздуха при </w:t>
        <w:br/>
        <w:t>температуре 25°С, %</w:t>
        <w:tab/>
        <w:t>от 30 до 80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103" w:leader="none"/>
          <w:tab w:val="left" w:pos="6379" w:leader="none"/>
          <w:tab w:val="right" w:pos="9639" w:leader="none"/>
        </w:tabs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  <w:t>атмосферное давление, кПа</w:t>
        <w:tab/>
        <w:t>от 84 до 106,7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529" w:leader="none"/>
          <w:tab w:val="left" w:pos="6521" w:leader="none"/>
        </w:tabs>
        <w:rPr>
          <w:rFonts w:ascii="Arial" w:hAnsi="Arial" w:cs="Arial"/>
        </w:rPr>
      </w:pPr>
      <w:r>
        <w:rPr>
          <w:rFonts w:cs="Arial" w:ascii="Arial" w:hAnsi="Arial"/>
          <w:sz w:val="19"/>
        </w:rPr>
        <w:t xml:space="preserve">напряжения питания, В: </w:t>
      </w:r>
    </w:p>
    <w:p>
      <w:pPr>
        <w:pStyle w:val="Normal"/>
        <w:tabs>
          <w:tab w:val="clear" w:pos="709"/>
          <w:tab w:val="left" w:pos="-142" w:leader="none"/>
          <w:tab w:val="left" w:pos="5670" w:leader="none"/>
          <w:tab w:val="right" w:pos="10205" w:leader="none"/>
        </w:tabs>
        <w:overflowPunct w:val="false"/>
        <w:autoSpaceDE w:val="false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 xml:space="preserve">- для сигнализаторов в двухблочном исполнении в комплекте </w:t>
        <w:br/>
        <w:t xml:space="preserve">с блоком питания и сигнализаторов в моноблочном </w:t>
        <w:br/>
        <w:t>исполнении, переменного тока частотой (50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1) Гц</w:t>
        <w:tab/>
        <w:t>220 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 11</w:t>
      </w:r>
    </w:p>
    <w:p>
      <w:pPr>
        <w:pStyle w:val="Normal"/>
        <w:tabs>
          <w:tab w:val="clear" w:pos="709"/>
          <w:tab w:val="left" w:pos="5529" w:leader="none"/>
          <w:tab w:val="left" w:pos="6521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  <w:t>3</w:t>
      </w:r>
      <w:r>
        <w:br w:type="page"/>
      </w:r>
    </w:p>
    <w:p>
      <w:pPr>
        <w:pStyle w:val="Normal"/>
        <w:tabs>
          <w:tab w:val="clear" w:pos="709"/>
          <w:tab w:val="left" w:pos="5529" w:leader="none"/>
          <w:tab w:val="left" w:pos="6521" w:leader="none"/>
        </w:tabs>
        <w:spacing w:lineRule="exact" w:line="200"/>
        <w:rPr/>
      </w:pPr>
      <w:r>
        <w:rPr>
          <w:rFonts w:cs="Arial" w:ascii="Arial" w:hAnsi="Arial"/>
        </w:rPr>
        <w:t xml:space="preserve">- для сигнализаторов в двухблочном исполнении без блока </w:t>
        <w:br/>
        <w:t>питания в комплекте поставки, постоянного тока</w:t>
        <w:tab/>
        <w:t>12±1,2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</w:rPr>
        <w:t>4.2  В помещении, где ведется поверка, наличие в воздухе агрессивных и токсичных газов допускается в концентрациях, не превышающих санитарных норм.</w:t>
      </w:r>
    </w:p>
    <w:p>
      <w:pPr>
        <w:pStyle w:val="Normal"/>
        <w:spacing w:lineRule="exact" w:line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5  ПОДГОТОВКА К ПОВЕРКЕ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</w:rPr>
        <w:t>5.1  Подготовить сигнализатор к работе в соответствии с руководством по эксплуатации КДБВ.407729.007 РЭ.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</w:rPr>
        <w:t>5.2  Проверить наличие свидетельств о поверке и паспортов на средства поверки, указанные в таблице 2.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</w:rPr>
        <w:t>5.3  Подготовить к работе средства поверки в соответствии с требованиями их эксплуатационной документации.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</w:rPr>
        <w:t>5.4  Выдержать баллоны с ГСО-ПГС в помещении, где проводится поверка, в течение времени, необходимого для выравнивания их температуры с температурой помещения.</w:t>
      </w:r>
    </w:p>
    <w:p>
      <w:pPr>
        <w:pStyle w:val="Normal"/>
        <w:spacing w:lineRule="exact" w:line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6  ПРОВЕДЕНИЕ ПОВЕРКИ</w:t>
      </w:r>
    </w:p>
    <w:p>
      <w:pPr>
        <w:pStyle w:val="Normal"/>
        <w:spacing w:lineRule="exact" w:line="200"/>
        <w:ind w:firstLine="426"/>
        <w:rPr>
          <w:rFonts w:ascii="Arial" w:hAnsi="Arial" w:cs="Arial"/>
        </w:rPr>
      </w:pPr>
      <w:r>
        <w:rPr>
          <w:rFonts w:cs="Arial" w:ascii="Arial" w:hAnsi="Arial"/>
        </w:rPr>
        <w:t>6.1  Внешний осмотр</w:t>
      </w:r>
    </w:p>
    <w:p>
      <w:pPr>
        <w:pStyle w:val="TextBodyIndent"/>
        <w:spacing w:lineRule="exact" w:line="200"/>
        <w:ind w:firstLine="426"/>
        <w:rPr/>
      </w:pPr>
      <w:r>
        <w:rPr>
          <w:rFonts w:cs="Arial"/>
          <w:sz w:val="20"/>
        </w:rPr>
        <w:t>При проведении внешнего осмотра должно быть установлено соответствие сигнализатора следующим требованиям:</w:t>
      </w:r>
    </w:p>
    <w:p>
      <w:pPr>
        <w:pStyle w:val="Normal"/>
        <w:numPr>
          <w:ilvl w:val="0"/>
          <w:numId w:val="9"/>
        </w:numPr>
        <w:spacing w:lineRule="exact" w:line="200"/>
        <w:jc w:val="both"/>
        <w:rPr/>
      </w:pPr>
      <w:r>
        <w:rPr>
          <w:rFonts w:cs="Arial" w:ascii="Arial" w:hAnsi="Arial"/>
        </w:rPr>
        <w:t>комплектность сигнализатора должна соответствовать руководству по эксплуатации КДБВ.407729.007 РЭ;</w:t>
      </w:r>
    </w:p>
    <w:p>
      <w:pPr>
        <w:pStyle w:val="Normal"/>
        <w:numPr>
          <w:ilvl w:val="0"/>
          <w:numId w:val="9"/>
        </w:numPr>
        <w:spacing w:lineRule="exact" w:line="200"/>
        <w:jc w:val="both"/>
        <w:rPr/>
      </w:pPr>
      <w:r>
        <w:rPr>
          <w:rFonts w:cs="Arial" w:ascii="Arial" w:hAnsi="Arial"/>
        </w:rPr>
        <w:t>сигнализатор не должен иметь повреждений, влияющих на работоспособность.</w:t>
      </w:r>
    </w:p>
    <w:p>
      <w:pPr>
        <w:pStyle w:val="Normal"/>
        <w:spacing w:lineRule="exact" w:line="20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6.2  Опробование</w:t>
      </w:r>
    </w:p>
    <w:p>
      <w:pPr>
        <w:pStyle w:val="TextBodyIndent"/>
        <w:spacing w:lineRule="exact" w:line="200"/>
        <w:ind w:firstLine="426"/>
        <w:rPr/>
      </w:pPr>
      <w:r>
        <w:rPr>
          <w:rFonts w:cs="Arial"/>
          <w:sz w:val="20"/>
        </w:rPr>
        <w:t>При опробовании проверяют работоспособность сигнализатора в следующем порядке: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lineRule="exact" w:line="20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включить электрическое питание сигнализатора. При этом на его блоке питания загорается красный светодиод; на блоке датчика сигнализатора двухблочного исполнения (и на УСД при наличии) / сигнализаторе моноблочного исполнения начинает часто мигатьзеленый светодиод, затем раздается один или несколько звуковых сигналов и одновременно с ними вспыхивает красный светодиод на блоке датчика сигнализатора двухблочного исполнения / красный и желтый светодиоды на сигнализаторе моноблочного исполнения. По окончании тестирования вспыхивает красный светодиод на блоке датчика сигнализатора двухблочного исполнения / красный и желтый светодиоды на сигнализаторе моноблочного исполнения гаснут, а мигание зеленого светодиода становится более редким.</w:t>
      </w:r>
    </w:p>
    <w:p>
      <w:pPr>
        <w:pStyle w:val="Normal"/>
        <w:spacing w:lineRule="exact" w:line="200"/>
        <w:ind w:firstLine="426"/>
        <w:jc w:val="both"/>
        <w:rPr/>
      </w:pPr>
      <w:r>
        <w:rPr>
          <w:rFonts w:cs="Arial" w:ascii="Arial" w:hAnsi="Arial"/>
          <w:i/>
        </w:rPr>
        <w:t>Примечание – При включении/выключении сигнализатора может кратковременно включиться световая и звуковая сигнализация, что не является признаком неисправности.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lineRule="exact" w:line="200"/>
        <w:ind w:left="0" w:hanging="0"/>
        <w:jc w:val="both"/>
        <w:rPr/>
      </w:pPr>
      <w:r>
        <w:rPr>
          <w:rFonts w:cs="Arial" w:ascii="Arial" w:hAnsi="Arial"/>
        </w:rPr>
        <w:t>выдержать сигнализатор во включенном состоянии не менее 30 мин.</w:t>
      </w:r>
    </w:p>
    <w:p>
      <w:pPr>
        <w:pStyle w:val="TextBodyIndent"/>
        <w:spacing w:lineRule="exact" w:line="200"/>
        <w:ind w:firstLine="426"/>
        <w:rPr/>
      </w:pPr>
      <w:r>
        <w:rPr>
          <w:rFonts w:cs="Arial"/>
          <w:sz w:val="20"/>
        </w:rPr>
        <w:t>Результаты опробования считают положительными, если по истечении времени прогрева: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284" w:leader="none"/>
        </w:tabs>
        <w:spacing w:lineRule="exact" w:line="200"/>
        <w:ind w:left="284" w:hanging="284"/>
        <w:jc w:val="both"/>
        <w:rPr/>
      </w:pPr>
      <w:r>
        <w:rPr>
          <w:rFonts w:cs="Arial" w:ascii="Arial" w:hAnsi="Arial"/>
        </w:rPr>
        <w:t>редко мигает зеленый светодиод на на корпусе блока датчика сигнализатора двухблочного исполнения / сигнализаторе моноблочного исполнения и светиться красный индикатор на блоке питания (при наличии);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284" w:leader="none"/>
        </w:tabs>
        <w:spacing w:lineRule="exact" w:line="24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отсутствует звуковая и световая сигнализация (красный светодиод на блоке датчика сигнализатора двухблочного исполнения / желтый и/или красный светодиоды на сигнализаторе моноблочного исполнения);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284" w:leader="none"/>
        </w:tabs>
        <w:spacing w:lineRule="exact" w:line="220"/>
        <w:ind w:left="284" w:hanging="284"/>
        <w:jc w:val="both"/>
        <w:rPr/>
      </w:pPr>
      <w:r>
        <w:rPr>
          <w:rFonts w:cs="Arial" w:ascii="Arial" w:hAnsi="Arial"/>
        </w:rPr>
        <w:t>напряжение сигнала, выдаваемого сигнализатором на внешние исполнительные устройства, соответствуют указанному в таблице 1 Руководства по эксплуатации КДБВ.407729.007 РЭ.</w:t>
      </w:r>
    </w:p>
    <w:p>
      <w:pPr>
        <w:pStyle w:val="Normal"/>
        <w:spacing w:lineRule="exact" w:line="22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6.3  Проверка электрической прочности изоляции и сопротивления изоляции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6.3.1  Проверка электрической прочности изоляции (только для сигнализаторов с блоком питания в комплекте поставки и сигнализатор в моноблочном исполнении)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Проверку электрической прочности изоляции проводят в следующем порядке:</w:t>
      </w:r>
    </w:p>
    <w:p>
      <w:pPr>
        <w:pStyle w:val="Normal"/>
        <w:tabs>
          <w:tab w:val="clear" w:pos="709"/>
          <w:tab w:val="left" w:pos="142" w:leader="none"/>
        </w:tabs>
        <w:spacing w:lineRule="exact" w:line="220"/>
        <w:ind w:firstLine="284"/>
        <w:jc w:val="both"/>
        <w:rPr/>
      </w:pPr>
      <w:r>
        <w:rPr>
          <w:rFonts w:cs="Arial" w:ascii="Arial" w:hAnsi="Arial"/>
        </w:rPr>
        <w:t>1) переменное напряжение величиной 1500 В прикладывают:</w:t>
      </w:r>
    </w:p>
    <w:p>
      <w:pPr>
        <w:pStyle w:val="Normal"/>
        <w:tabs>
          <w:tab w:val="clear" w:pos="709"/>
          <w:tab w:val="left" w:pos="142" w:leader="none"/>
        </w:tabs>
        <w:spacing w:lineRule="exact" w:line="220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для сигнализаторов в двухблочном исполнении – между соединенными вместе контактами сетевой вилки блока питания сигнализатора и корпусом блока питания, обернутым в фольгу;</w:t>
      </w:r>
    </w:p>
    <w:p>
      <w:pPr>
        <w:pStyle w:val="Normal"/>
        <w:tabs>
          <w:tab w:val="clear" w:pos="709"/>
          <w:tab w:val="left" w:pos="142" w:leader="none"/>
        </w:tabs>
        <w:spacing w:lineRule="exact" w:line="220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-для сигнализаторов в моноблочном исполнении – соединенными вместе контактами сетевой вилки и корпусом сигнализатора, обернутым в фольгу;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 xml:space="preserve">2) подачу испытательного напряжения начинать от нуля или величины рабочего напряжения. Поднимать напряжение плавно или ступенями, не превышающими 10 </w:t>
      </w:r>
      <w:r>
        <w:rPr>
          <w:rFonts w:eastAsia="Symbol" w:cs="Symbol" w:ascii="Symbol" w:hAnsi="Symbol"/>
        </w:rPr>
        <w:t></w:t>
      </w:r>
      <w:r>
        <w:rPr>
          <w:rFonts w:cs="Arial" w:ascii="Arial" w:hAnsi="Arial"/>
        </w:rPr>
        <w:t xml:space="preserve"> испытательного напряжения, за время от 5 до 20 с;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3) испытуемую цепь выдержать под испытательным напряжением в течение 1 мин, после чего напряжение плавно или ступенями снизить до нуля или близкого к рабочему, за время от 5 до 20 с.</w:t>
      </w:r>
    </w:p>
    <w:p>
      <w:pPr>
        <w:pStyle w:val="Normal"/>
        <w:spacing w:lineRule="exact" w:line="220"/>
        <w:ind w:firstLine="425"/>
        <w:jc w:val="both"/>
        <w:rPr/>
      </w:pPr>
      <w:r>
        <w:rPr>
          <w:rFonts w:cs="Arial" w:ascii="Arial" w:hAnsi="Arial"/>
        </w:rPr>
        <w:t>Сигнализатор считается выдержавшим испытание, если в процессе испытаний не наблюдалось признаков пробоя или поверхностного перекрытия изоляции.</w:t>
      </w:r>
    </w:p>
    <w:p>
      <w:pPr>
        <w:pStyle w:val="Normal"/>
        <w:spacing w:lineRule="exact" w:line="22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6.3.2  Проверка электрического сопротивления изоляции (только для сигнализаторов с блоком питания в комплекте поставки и сигнализаторов в моноблочном исполнении)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Проверку электрического сопротивления изоляции проводят мегомметром Ф 4202/2 с рабочим напряжением 500 В в следующем порядке: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1) испытательное напряжение прикладывают между замкнутыми между собой контактами сетевой вилки блока питания или сигнализатора и корпусом блока  питания или сигнализатора, обернутым в фольгу;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2) отсчет показаний проводят через 1 мин после приложения испытательного напряжения.</w:t>
      </w:r>
    </w:p>
    <w:p>
      <w:pPr>
        <w:pStyle w:val="Normal"/>
        <w:spacing w:lineRule="exact" w:line="220"/>
        <w:ind w:firstLine="284"/>
        <w:jc w:val="both"/>
        <w:rPr/>
      </w:pPr>
      <w:r>
        <w:rPr>
          <w:rFonts w:cs="Arial" w:ascii="Arial" w:hAnsi="Arial"/>
        </w:rPr>
        <w:t>Сигнализатор считается выдержавшим испытание, если электрическое сопротивление изоляции не менее 20 МОм.</w:t>
      </w:r>
    </w:p>
    <w:p>
      <w:pPr>
        <w:pStyle w:val="Normal"/>
        <w:spacing w:lineRule="exact" w:line="220"/>
        <w:jc w:val="center"/>
        <w:rPr/>
      </w:pPr>
      <w:r>
        <w:rPr>
          <w:rFonts w:cs="Arial" w:ascii="Arial" w:hAnsi="Arial"/>
          <w:b/>
        </w:rPr>
        <w:t>6.4  Определение метрологических характеристик сигнализатора</w:t>
      </w:r>
    </w:p>
    <w:p>
      <w:pPr>
        <w:pStyle w:val="Normal"/>
        <w:spacing w:lineRule="atLeast" w:line="220"/>
        <w:ind w:firstLine="284"/>
        <w:jc w:val="both"/>
        <w:rPr/>
      </w:pPr>
      <w:r>
        <w:rPr>
          <w:rFonts w:cs="Arial" w:ascii="Arial" w:hAnsi="Arial"/>
        </w:rPr>
        <w:t>6.4.1  Определение основной абсолютной погрешности сигнализатора</w:t>
      </w:r>
    </w:p>
    <w:p>
      <w:pPr>
        <w:pStyle w:val="Normal"/>
        <w:spacing w:lineRule="atLeast" w:line="260"/>
        <w:ind w:firstLine="426"/>
        <w:rPr>
          <w:rFonts w:ascii="Arial" w:hAnsi="Arial" w:cs="Arial"/>
        </w:rPr>
      </w:pPr>
      <w:r>
        <w:rPr>
          <w:rFonts w:cs="Arial" w:ascii="Arial" w:hAnsi="Arial"/>
        </w:rPr>
        <w:t>Для определения основной абсолютной погрешности сигнализатора следует собрать схему, изображенную на рисунке 1.</w:t>
      </w:r>
    </w:p>
    <w:p>
      <w:pPr>
        <w:pStyle w:val="Normal"/>
        <w:spacing w:lineRule="atLeast" w:line="260"/>
        <w:ind w:firstLine="426"/>
        <w:jc w:val="right"/>
        <w:rPr>
          <w:rFonts w:ascii="Arial" w:hAnsi="Arial" w:cs="Arial"/>
        </w:rPr>
      </w:pPr>
      <w:r>
        <w:rPr>
          <w:rFonts w:cs="Arial" w:ascii="Arial" w:hAnsi="Arial"/>
        </w:rPr>
        <w:t>5</w:t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cols w:num="2" w:space="141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9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320"/>
      </w:pPr>
      <w:rPr>
        <w:rFonts w:ascii="Arial" w:hAnsi="Arial" w:cs="Arial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18"/>
        <w:rFonts w:ascii="Arial" w:hAnsi="Arial" w:cs="Arial"/>
      </w:rPr>
    </w:lvl>
  </w:abstractNum>
  <w:abstractNum w:abstractNumId="7"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10">
    <w:lvl w:ilvl="0"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val="fullPage" w:percent="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tLeast" w:line="240"/>
      <w:outlineLvl w:val="0"/>
    </w:pPr>
    <w:rPr>
      <w:rFonts w:ascii="Arial" w:hAnsi="Arial" w:cs="Arial"/>
      <w:b/>
      <w:sz w:val="1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lineRule="auto" w:line="360" w:before="120" w:after="0"/>
      <w:jc w:val="both"/>
      <w:outlineLvl w:val="1"/>
    </w:pPr>
    <w:rPr>
      <w:rFonts w:ascii="Arial" w:hAnsi="Arial" w:cs="Arial"/>
      <w:b/>
      <w:sz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Arial" w:hAnsi="Arial" w:cs="Arial"/>
      <w:sz w:val="19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Arial" w:hAnsi="Arial" w:cs="Arial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Arial" w:hAnsi="Arial" w:cs="Arial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>
      <w:rFonts w:ascii="Arial" w:hAnsi="Arial" w:cs="Arial"/>
      <w:sz w:val="18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Arial" w:hAnsi="Arial" w:cs="Aria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Arial" w:hAnsi="Arial" w:cs="Aria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St24z0">
    <w:name w:val="WW8NumSt24z0"/>
    <w:qFormat/>
    <w:rPr>
      <w:rFonts w:ascii="Symbol" w:hAnsi="Symbol" w:cs="Symbol"/>
    </w:rPr>
  </w:style>
  <w:style w:type="character" w:styleId="WW8NumSt34z0">
    <w:name w:val="WW8NumSt34z0"/>
    <w:qFormat/>
    <w:rPr>
      <w:rFonts w:ascii="Arial" w:hAnsi="Arial" w:cs="Arial"/>
    </w:rPr>
  </w:style>
  <w:style w:type="character" w:styleId="Style11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480"/>
      <w:jc w:val="both"/>
    </w:pPr>
    <w:rPr>
      <w:rFonts w:ascii="Arial" w:hAnsi="Arial" w:cs="Arial"/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2">
    <w:name w:val="Название объекта"/>
    <w:basedOn w:val="Normal"/>
    <w:next w:val="Normal"/>
    <w:qFormat/>
    <w:pPr>
      <w:jc w:val="center"/>
    </w:pPr>
    <w:rPr>
      <w:rFonts w:ascii="Arial" w:hAnsi="Arial" w:cs="Arial"/>
      <w:b/>
      <w:sz w:val="16"/>
    </w:rPr>
  </w:style>
  <w:style w:type="paragraph" w:styleId="TextBodyIndent">
    <w:name w:val="Body Text Indent"/>
    <w:basedOn w:val="Normal"/>
    <w:pPr>
      <w:ind w:firstLine="284"/>
      <w:jc w:val="both"/>
    </w:pPr>
    <w:rPr>
      <w:rFonts w:ascii="Arial" w:hAnsi="Arial" w:cs="Arial"/>
      <w:sz w:val="14"/>
    </w:rPr>
  </w:style>
  <w:style w:type="paragraph" w:styleId="2">
    <w:name w:val="Основной текст 2"/>
    <w:basedOn w:val="Normal"/>
    <w:qFormat/>
    <w:pPr>
      <w:spacing w:lineRule="atLeast" w:line="480"/>
      <w:jc w:val="both"/>
    </w:pPr>
    <w:rPr>
      <w:rFonts w:ascii="Arial" w:hAnsi="Arial" w:cs="Arial"/>
      <w:sz w:val="24"/>
    </w:rPr>
  </w:style>
  <w:style w:type="paragraph" w:styleId="3">
    <w:name w:val="Основной текст 3"/>
    <w:basedOn w:val="Normal"/>
    <w:qFormat/>
    <w:pPr>
      <w:tabs>
        <w:tab w:val="clear" w:pos="709"/>
        <w:tab w:val="left" w:pos="7371" w:leader="none"/>
      </w:tabs>
      <w:spacing w:lineRule="auto" w:line="360"/>
      <w:ind w:right="567" w:hanging="0"/>
      <w:jc w:val="both"/>
    </w:pPr>
    <w:rPr>
      <w:rFonts w:ascii="Arial" w:hAnsi="Arial" w:cs="Arial"/>
      <w:sz w:val="24"/>
    </w:rPr>
  </w:style>
  <w:style w:type="paragraph" w:styleId="21">
    <w:name w:val="Основной текст с отступом 2"/>
    <w:basedOn w:val="Normal"/>
    <w:qFormat/>
    <w:pPr>
      <w:spacing w:lineRule="auto" w:line="360"/>
      <w:ind w:firstLine="794"/>
      <w:jc w:val="both"/>
    </w:pPr>
    <w:rPr>
      <w:rFonts w:ascii="Arial" w:hAnsi="Arial" w:cs="Arial"/>
      <w:sz w:val="24"/>
    </w:rPr>
  </w:style>
  <w:style w:type="paragraph" w:styleId="31">
    <w:name w:val="Основной текст с отступом 3"/>
    <w:basedOn w:val="Normal"/>
    <w:qFormat/>
    <w:pPr>
      <w:spacing w:lineRule="auto" w:line="360"/>
      <w:ind w:firstLine="709"/>
      <w:jc w:val="both"/>
    </w:pPr>
    <w:rPr>
      <w:rFonts w:ascii="Arial" w:hAnsi="Arial" w:cs="Arial"/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2014-07-16T13:56:00Z</dcterms:created>
  <dc:creator>СК</dc:creator>
  <dc:description>без гарантийного талона</dc:description>
  <cp:keywords> </cp:keywords>
  <dc:language>en-US</dc:language>
  <cp:lastModifiedBy>Admin</cp:lastModifiedBy>
  <cp:lastPrinted>2008-07-16T14:09:00Z</cp:lastPrinted>
  <dcterms:modified xsi:type="dcterms:W3CDTF">2014-07-16T13:56:00Z</dcterms:modified>
  <cp:revision>2</cp:revision>
  <dc:subject/>
  <dc:title>БУГ-1 ... БУГ-4</dc:title>
</cp:coreProperties>
</file>